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word/webSettings.xml" ContentType="application/vnd.openxmlformats-officedocument.wordprocessingml.webSettings+xml"/>
  <Override PartName="/word/theme/theme1.xml" ContentType="application/vnd.openxmlformats-officedocument.theme+xml"/>
  <Override PartName="/word/footer1.xml" ContentType="application/vnd.openxmlformats-officedocument.wordprocessingml.footer+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w:body>
    <w:p>
      <w:pPr>
        <w:jc w:val="left"/>
        <w:spacing w:after="1400" w:before="0" w:line="384" w:lineRule="auto"/>
      </w:pPr>
      <w:r>
        <w:rPr>
          <w:rFonts w:ascii="Arial" w:eastAsia="맑은 고딕" w:hAnsi="Arial"/>
          <w:b w:val="0"/>
          <w:bCs w:val="0"/>
          <w:sz w:val="20"/>
          <w:szCs w:val="20"/>
        </w:rPr>
        <w:t>대전참여자치시민연대</w:t>
      </w:r>
    </w:p>
    <w:p>
      <w:pPr>
        <w:jc w:val="center"/>
        <w:spacing w:after="160" w:before="0" w:line="384" w:lineRule="auto"/>
      </w:pPr>
      <w:r>
        <w:rPr>
          <w:rFonts w:ascii="Arial" w:eastAsia="맑은 고딕" w:hAnsi="Arial"/>
          <w:b/>
          <w:bCs/>
          <w:sz w:val="34"/>
          <w:szCs w:val="34"/>
        </w:rPr>
        <w:t>2025회계연도 대전시 결산 분석</w:t>
      </w:r>
    </w:p>
    <w:p>
      <w:pPr>
        <w:jc w:val="center"/>
        <w:spacing w:after="1600" w:before="0" w:line="384" w:lineRule="auto"/>
      </w:pPr>
      <w:r>
        <w:rPr>
          <w:rFonts w:ascii="Arial" w:eastAsia="맑은 고딕" w:hAnsi="Arial"/>
          <w:b w:val="0"/>
          <w:bCs w:val="0"/>
          <w:sz w:val="24"/>
          <w:szCs w:val="24"/>
        </w:rPr>
        <w:t>재정 구조와 '재정위기' 진단, 그리고 이월 실태</w:t>
      </w:r>
    </w:p>
    <w:p>
      <w:pPr>
        <w:jc w:val="left"/>
        <w:spacing w:after="40" w:before="0" w:line="384" w:lineRule="auto"/>
      </w:pPr>
      <w:r>
        <w:rPr>
          <w:rFonts w:ascii="Arial" w:eastAsia="맑은 고딕" w:hAnsi="Arial"/>
          <w:b w:val="0"/>
          <w:bCs w:val="0"/>
          <w:sz w:val="20"/>
          <w:szCs w:val="20"/>
        </w:rPr>
        <w:t>■ 일시 : 2026년 9월 4일</w:t>
      </w:r>
    </w:p>
    <w:p>
      <w:pPr>
        <w:jc w:val="left"/>
        <w:spacing w:after="40" w:before="0" w:line="384" w:lineRule="auto"/>
      </w:pPr>
      <w:r>
        <w:rPr>
          <w:rFonts w:ascii="Arial" w:eastAsia="맑은 고딕" w:hAnsi="Arial"/>
          <w:b w:val="0"/>
          <w:bCs w:val="0"/>
          <w:sz w:val="20"/>
          <w:szCs w:val="20"/>
        </w:rPr>
        <w:t>■ 작성 : 대전참여자치시민연대 사무처</w:t>
      </w:r>
    </w:p>
    <w:p>
      <w:pPr>
        <w:jc w:val="left"/>
        <w:spacing w:after="40" w:before="0" w:line="384" w:lineRule="auto"/>
      </w:pPr>
      <w:r>
        <w:rPr>
          <w:rFonts w:ascii="Arial" w:eastAsia="맑은 고딕" w:hAnsi="Arial"/>
          <w:b w:val="0"/>
          <w:bCs w:val="0"/>
          <w:sz w:val="20"/>
          <w:szCs w:val="20"/>
        </w:rPr>
        <w:t>■ 담당 : 김재섭 사무처장 (010-9355-3697 / 042-331-0092)</w:t>
      </w:r>
    </w:p>
    <w:p>
      <w:pPr>
        <w:sectPr>
          <w:pgSz w:w="11906" w:h="16838"/>
          <w:pgMar w:top="1701" w:right="1417" w:bottom="1701" w:left="1701" w:header="708" w:footer="708" w:gutter="0"/>
          <w:cols/>
          <w:docGrid w:linePitch="360"/>
        </w:sectPr>
      </w:pPr>
    </w:p>
    <w:p>
      <w:pPr>
        <w:jc w:val="center"/>
        <w:spacing w:after="320" w:before="0" w:line="384" w:lineRule="auto"/>
      </w:pPr>
      <w:r>
        <w:rPr>
          <w:rFonts w:ascii="Arial" w:eastAsia="맑은 고딕" w:hAnsi="Arial"/>
          <w:b/>
          <w:bCs/>
          <w:sz w:val="24"/>
          <w:szCs w:val="24"/>
        </w:rPr>
        <w:t>목  차</w:t>
      </w:r>
    </w:p>
    <w:p>
      <w:pPr>
        <w:tabs>
          <w:tab w:val="right" w:pos="8788" w:leader="dot"/>
        </w:tabs>
        <w:spacing w:after="40" w:line="384" w:lineRule="auto"/>
      </w:pPr>
      <w:r>
        <w:rPr>
          <w:rFonts w:ascii="Arial" w:eastAsia="맑은 고딕" w:hAnsi="Arial"/>
          <w:b/>
          <w:bCs/>
          <w:sz w:val="20"/>
          <w:szCs w:val="20"/>
        </w:rPr>
        <w:t>요약 — 대전광역시 재정 상태 진단과 관리 방향</w:t>
      </w:r>
      <w:r>
        <w:rPr>
          <w:rFonts w:ascii="Arial" w:eastAsia="맑은 고딕"/>
          <w:sz w:val="20"/>
          <w:szCs w:val="20"/>
        </w:rPr>
        <w:t xml:space="preserve"> </w:t>
      </w:r>
      <w:r>
        <w:rPr>
          <w:rFonts w:ascii="Arial" w:eastAsia="맑은 고딕"/>
          <w:sz w:val="20"/>
          <w:szCs w:val="20"/>
        </w:rPr>
        <w:t>3</w:t>
      </w:r>
    </w:p>
    <w:p>
      <w:pPr>
        <w:ind w:left="320"/>
        <w:tabs>
          <w:tab w:val="right" w:pos="8788" w:leader="dot"/>
        </w:tabs>
        <w:spacing w:after="40" w:line="384" w:lineRule="auto"/>
      </w:pPr>
      <w:r>
        <w:rPr>
          <w:rFonts w:ascii="Arial" w:eastAsia="맑은 고딕" w:hAnsi="Arial"/>
          <w:b w:val="0"/>
          <w:bCs w:val="0"/>
          <w:sz w:val="20"/>
          <w:szCs w:val="20"/>
        </w:rPr>
        <w:t>1. 법정 기준으로 본 대전시의 현재 위치</w:t>
      </w:r>
      <w:r>
        <w:rPr>
          <w:rFonts w:ascii="Arial" w:eastAsia="맑은 고딕"/>
          <w:sz w:val="20"/>
          <w:szCs w:val="20"/>
        </w:rPr>
        <w:t xml:space="preserve"> </w:t>
      </w:r>
      <w:r>
        <w:rPr>
          <w:rFonts w:ascii="Arial" w:eastAsia="맑은 고딕"/>
          <w:sz w:val="20"/>
          <w:szCs w:val="20"/>
        </w:rPr>
        <w:t>3</w:t>
      </w:r>
    </w:p>
    <w:p>
      <w:pPr>
        <w:ind w:left="320"/>
        <w:tabs>
          <w:tab w:val="right" w:pos="8788" w:leader="dot"/>
        </w:tabs>
        <w:spacing w:after="40" w:line="384" w:lineRule="auto"/>
      </w:pPr>
      <w:r>
        <w:rPr>
          <w:rFonts w:ascii="Arial" w:eastAsia="맑은 고딕" w:hAnsi="Arial"/>
          <w:b w:val="0"/>
          <w:bCs w:val="0"/>
          <w:sz w:val="20"/>
          <w:szCs w:val="20"/>
        </w:rPr>
        <w:t>2. 문제의 본질 — 세입 부족이 아니다</w:t>
      </w:r>
      <w:r>
        <w:rPr>
          <w:rFonts w:ascii="Arial" w:eastAsia="맑은 고딕"/>
          <w:sz w:val="20"/>
          <w:szCs w:val="20"/>
        </w:rPr>
        <w:t xml:space="preserve"> </w:t>
      </w:r>
      <w:r>
        <w:rPr>
          <w:rFonts w:ascii="Arial" w:eastAsia="맑은 고딕"/>
          <w:sz w:val="20"/>
          <w:szCs w:val="20"/>
        </w:rPr>
        <w:t>3</w:t>
      </w:r>
    </w:p>
    <w:p>
      <w:pPr>
        <w:ind w:left="320"/>
        <w:tabs>
          <w:tab w:val="right" w:pos="8788" w:leader="dot"/>
        </w:tabs>
        <w:spacing w:after="40" w:line="384" w:lineRule="auto"/>
      </w:pPr>
      <w:r>
        <w:rPr>
          <w:rFonts w:ascii="Arial" w:eastAsia="맑은 고딕" w:hAnsi="Arial"/>
          <w:b w:val="0"/>
          <w:bCs w:val="0"/>
          <w:sz w:val="20"/>
          <w:szCs w:val="20"/>
        </w:rPr>
        <w:t>3. 결산심사에서 검증해야 할 세 가지</w:t>
      </w:r>
      <w:r>
        <w:rPr>
          <w:rFonts w:ascii="Arial" w:eastAsia="맑은 고딕"/>
          <w:sz w:val="20"/>
          <w:szCs w:val="20"/>
        </w:rPr>
        <w:t xml:space="preserve"> </w:t>
      </w:r>
      <w:r>
        <w:rPr>
          <w:rFonts w:ascii="Arial" w:eastAsia="맑은 고딕"/>
          <w:sz w:val="20"/>
          <w:szCs w:val="20"/>
        </w:rPr>
        <w:t>4</w:t>
      </w:r>
    </w:p>
    <w:p>
      <w:pPr>
        <w:ind w:left="320"/>
        <w:tabs>
          <w:tab w:val="right" w:pos="8788" w:leader="dot"/>
        </w:tabs>
        <w:spacing w:after="40" w:line="384" w:lineRule="auto"/>
      </w:pPr>
      <w:r>
        <w:rPr>
          <w:rFonts w:ascii="Arial" w:eastAsia="맑은 고딕" w:hAnsi="Arial"/>
          <w:b w:val="0"/>
          <w:bCs w:val="0"/>
          <w:sz w:val="20"/>
          <w:szCs w:val="20"/>
        </w:rPr>
        <w:t>4. 재정 건전화를 위한 관리 방향</w:t>
      </w:r>
      <w:r>
        <w:rPr>
          <w:rFonts w:ascii="Arial" w:eastAsia="맑은 고딕"/>
          <w:sz w:val="20"/>
          <w:szCs w:val="20"/>
        </w:rPr>
        <w:t xml:space="preserve"> </w:t>
      </w:r>
      <w:r>
        <w:rPr>
          <w:rFonts w:ascii="Arial" w:eastAsia="맑은 고딕"/>
          <w:sz w:val="20"/>
          <w:szCs w:val="20"/>
        </w:rPr>
        <w:t>4</w:t>
      </w:r>
    </w:p>
    <w:p>
      <w:pPr>
        <w:tabs>
          <w:tab w:val="right" w:pos="8788" w:leader="dot"/>
        </w:tabs>
        <w:spacing w:after="40" w:line="384" w:lineRule="auto"/>
      </w:pPr>
      <w:r>
        <w:rPr>
          <w:rFonts w:ascii="Arial" w:eastAsia="맑은 고딕" w:hAnsi="Arial"/>
          <w:b/>
          <w:bCs/>
          <w:sz w:val="20"/>
          <w:szCs w:val="20"/>
        </w:rPr>
        <w:t>Ⅰ. 분석 개요</w:t>
      </w:r>
      <w:r>
        <w:rPr>
          <w:rFonts w:ascii="Arial" w:eastAsia="맑은 고딕"/>
          <w:sz w:val="20"/>
          <w:szCs w:val="20"/>
        </w:rPr>
        <w:t xml:space="preserve"> </w:t>
      </w:r>
      <w:r>
        <w:rPr>
          <w:rFonts w:ascii="Arial" w:eastAsia="맑은 고딕"/>
          <w:sz w:val="20"/>
          <w:szCs w:val="20"/>
        </w:rPr>
        <w:t>6</w:t>
      </w:r>
    </w:p>
    <w:p>
      <w:pPr>
        <w:ind w:left="320"/>
        <w:tabs>
          <w:tab w:val="right" w:pos="8788" w:leader="dot"/>
        </w:tabs>
        <w:spacing w:after="40" w:line="384" w:lineRule="auto"/>
      </w:pPr>
      <w:r>
        <w:rPr>
          <w:rFonts w:ascii="Arial" w:eastAsia="맑은 고딕" w:hAnsi="Arial"/>
          <w:b w:val="0"/>
          <w:bCs w:val="0"/>
          <w:sz w:val="20"/>
          <w:szCs w:val="20"/>
        </w:rPr>
        <w:t>1. 분석 배경과 확보한 자료</w:t>
      </w:r>
      <w:r>
        <w:rPr>
          <w:rFonts w:ascii="Arial" w:eastAsia="맑은 고딕"/>
          <w:sz w:val="20"/>
          <w:szCs w:val="20"/>
        </w:rPr>
        <w:t xml:space="preserve"> </w:t>
      </w:r>
      <w:r>
        <w:rPr>
          <w:rFonts w:ascii="Arial" w:eastAsia="맑은 고딕"/>
          <w:sz w:val="20"/>
          <w:szCs w:val="20"/>
        </w:rPr>
        <w:t>6</w:t>
      </w:r>
    </w:p>
    <w:p>
      <w:pPr>
        <w:tabs>
          <w:tab w:val="right" w:pos="8788" w:leader="dot"/>
        </w:tabs>
        <w:spacing w:after="40" w:line="384" w:lineRule="auto"/>
      </w:pPr>
      <w:r>
        <w:rPr>
          <w:rFonts w:ascii="Arial" w:eastAsia="맑은 고딕" w:hAnsi="Arial"/>
          <w:b/>
          <w:bCs/>
          <w:sz w:val="20"/>
          <w:szCs w:val="20"/>
        </w:rPr>
        <w:t>Ⅱ. 2025회계연도 결산 총괄</w:t>
      </w:r>
      <w:r>
        <w:rPr>
          <w:rFonts w:ascii="Arial" w:eastAsia="맑은 고딕"/>
          <w:sz w:val="20"/>
          <w:szCs w:val="20"/>
        </w:rPr>
        <w:t xml:space="preserve"> </w:t>
      </w:r>
      <w:r>
        <w:rPr>
          <w:rFonts w:ascii="Arial" w:eastAsia="맑은 고딕"/>
          <w:sz w:val="20"/>
          <w:szCs w:val="20"/>
        </w:rPr>
        <w:t>7</w:t>
      </w:r>
    </w:p>
    <w:p>
      <w:pPr>
        <w:ind w:left="320"/>
        <w:tabs>
          <w:tab w:val="right" w:pos="8788" w:leader="dot"/>
        </w:tabs>
        <w:spacing w:after="40" w:line="384" w:lineRule="auto"/>
      </w:pPr>
      <w:r>
        <w:rPr>
          <w:rFonts w:ascii="Arial" w:eastAsia="맑은 고딕" w:hAnsi="Arial"/>
          <w:b w:val="0"/>
          <w:bCs w:val="0"/>
          <w:sz w:val="20"/>
          <w:szCs w:val="20"/>
        </w:rPr>
        <w:t>1. 세입·세출 개요</w:t>
      </w:r>
      <w:r>
        <w:rPr>
          <w:rFonts w:ascii="Arial" w:eastAsia="맑은 고딕"/>
          <w:sz w:val="20"/>
          <w:szCs w:val="20"/>
        </w:rPr>
        <w:t xml:space="preserve"> </w:t>
      </w:r>
      <w:r>
        <w:rPr>
          <w:rFonts w:ascii="Arial" w:eastAsia="맑은 고딕"/>
          <w:sz w:val="20"/>
          <w:szCs w:val="20"/>
        </w:rPr>
        <w:t>7</w:t>
      </w:r>
    </w:p>
    <w:p>
      <w:pPr>
        <w:ind w:left="320"/>
        <w:tabs>
          <w:tab w:val="right" w:pos="8788" w:leader="dot"/>
        </w:tabs>
        <w:spacing w:after="40" w:line="384" w:lineRule="auto"/>
      </w:pPr>
      <w:r>
        <w:rPr>
          <w:rFonts w:ascii="Arial" w:eastAsia="맑은 고딕" w:hAnsi="Arial"/>
          <w:b w:val="0"/>
          <w:bCs w:val="0"/>
          <w:sz w:val="20"/>
          <w:szCs w:val="20"/>
        </w:rPr>
        <w:t>2. 세입은 무엇이 늘렸나 — 구성별 증감</w:t>
      </w:r>
      <w:r>
        <w:rPr>
          <w:rFonts w:ascii="Arial" w:eastAsia="맑은 고딕"/>
          <w:sz w:val="20"/>
          <w:szCs w:val="20"/>
        </w:rPr>
        <w:t xml:space="preserve"> </w:t>
      </w:r>
      <w:r>
        <w:rPr>
          <w:rFonts w:ascii="Arial" w:eastAsia="맑은 고딕"/>
          <w:sz w:val="20"/>
          <w:szCs w:val="20"/>
        </w:rPr>
        <w:t>7</w:t>
      </w:r>
    </w:p>
    <w:p>
      <w:pPr>
        <w:ind w:left="320"/>
        <w:tabs>
          <w:tab w:val="right" w:pos="8788" w:leader="dot"/>
        </w:tabs>
        <w:spacing w:after="40" w:line="384" w:lineRule="auto"/>
      </w:pPr>
      <w:r>
        <w:rPr>
          <w:rFonts w:ascii="Arial" w:eastAsia="맑은 고딕" w:hAnsi="Arial"/>
          <w:b w:val="0"/>
          <w:bCs w:val="0"/>
          <w:sz w:val="20"/>
          <w:szCs w:val="20"/>
        </w:rPr>
        <w:t>3. 스스로 버는 돈은 늘었나 — 자체수입 5년 추이</w:t>
      </w:r>
      <w:r>
        <w:rPr>
          <w:rFonts w:ascii="Arial" w:eastAsia="맑은 고딕"/>
          <w:sz w:val="20"/>
          <w:szCs w:val="20"/>
        </w:rPr>
        <w:t xml:space="preserve"> </w:t>
      </w:r>
      <w:r>
        <w:rPr>
          <w:rFonts w:ascii="Arial" w:eastAsia="맑은 고딕"/>
          <w:sz w:val="20"/>
          <w:szCs w:val="20"/>
        </w:rPr>
        <w:t>8</w:t>
      </w:r>
    </w:p>
    <w:p>
      <w:pPr>
        <w:ind w:left="320"/>
        <w:tabs>
          <w:tab w:val="right" w:pos="8788" w:leader="dot"/>
        </w:tabs>
        <w:spacing w:after="40" w:line="384" w:lineRule="auto"/>
      </w:pPr>
      <w:r>
        <w:rPr>
          <w:rFonts w:ascii="Arial" w:eastAsia="맑은 고딕" w:hAnsi="Arial"/>
          <w:b w:val="0"/>
          <w:bCs w:val="0"/>
          <w:sz w:val="20"/>
          <w:szCs w:val="20"/>
        </w:rPr>
        <w:t>4. 회계별 집행 실태</w:t>
      </w:r>
      <w:r>
        <w:rPr>
          <w:rFonts w:ascii="Arial" w:eastAsia="맑은 고딕"/>
          <w:sz w:val="20"/>
          <w:szCs w:val="20"/>
        </w:rPr>
        <w:t xml:space="preserve"> </w:t>
      </w:r>
      <w:r>
        <w:rPr>
          <w:rFonts w:ascii="Arial" w:eastAsia="맑은 고딕"/>
          <w:sz w:val="20"/>
          <w:szCs w:val="20"/>
        </w:rPr>
        <w:t>9</w:t>
      </w:r>
    </w:p>
    <w:p>
      <w:pPr>
        <w:tabs>
          <w:tab w:val="right" w:pos="8788" w:leader="dot"/>
        </w:tabs>
        <w:spacing w:after="40" w:line="384" w:lineRule="auto"/>
      </w:pPr>
      <w:r>
        <w:rPr>
          <w:rFonts w:ascii="Arial" w:eastAsia="맑은 고딕" w:hAnsi="Arial"/>
          <w:b/>
          <w:bCs/>
          <w:sz w:val="20"/>
          <w:szCs w:val="20"/>
        </w:rPr>
        <w:t>Ⅲ. '재정위기'는 어디까지 왔나 — 법정 기준과의 거리</w:t>
      </w:r>
      <w:r>
        <w:rPr>
          <w:rFonts w:ascii="Arial" w:eastAsia="맑은 고딕"/>
          <w:sz w:val="20"/>
          <w:szCs w:val="20"/>
        </w:rPr>
        <w:t xml:space="preserve"> </w:t>
      </w:r>
      <w:r>
        <w:rPr>
          <w:rFonts w:ascii="Arial" w:eastAsia="맑은 고딕"/>
          <w:sz w:val="20"/>
          <w:szCs w:val="20"/>
        </w:rPr>
        <w:t>11</w:t>
      </w:r>
    </w:p>
    <w:p>
      <w:pPr>
        <w:ind w:left="320"/>
        <w:tabs>
          <w:tab w:val="right" w:pos="8788" w:leader="dot"/>
        </w:tabs>
        <w:spacing w:after="40" w:line="384" w:lineRule="auto"/>
      </w:pPr>
      <w:r>
        <w:rPr>
          <w:rFonts w:ascii="Arial" w:eastAsia="맑은 고딕" w:hAnsi="Arial"/>
          <w:b w:val="0"/>
          <w:bCs w:val="0"/>
          <w:sz w:val="20"/>
          <w:szCs w:val="20"/>
        </w:rPr>
        <w:t>1. 민선9기의 재정 진단</w:t>
      </w:r>
      <w:r>
        <w:rPr>
          <w:rFonts w:ascii="Arial" w:eastAsia="맑은 고딕"/>
          <w:sz w:val="20"/>
          <w:szCs w:val="20"/>
        </w:rPr>
        <w:t xml:space="preserve"> </w:t>
      </w:r>
      <w:r>
        <w:rPr>
          <w:rFonts w:ascii="Arial" w:eastAsia="맑은 고딕"/>
          <w:sz w:val="20"/>
          <w:szCs w:val="20"/>
        </w:rPr>
        <w:t>11</w:t>
      </w:r>
    </w:p>
    <w:p>
      <w:pPr>
        <w:ind w:left="320"/>
        <w:tabs>
          <w:tab w:val="right" w:pos="8788" w:leader="dot"/>
        </w:tabs>
        <w:spacing w:after="40" w:line="384" w:lineRule="auto"/>
      </w:pPr>
      <w:r>
        <w:rPr>
          <w:rFonts w:ascii="Arial" w:eastAsia="맑은 고딕" w:hAnsi="Arial"/>
          <w:b w:val="0"/>
          <w:bCs w:val="0"/>
          <w:sz w:val="20"/>
          <w:szCs w:val="20"/>
        </w:rPr>
        <w:t>2. 채무 규모와 증가 속도</w:t>
      </w:r>
      <w:r>
        <w:rPr>
          <w:rFonts w:ascii="Arial" w:eastAsia="맑은 고딕"/>
          <w:sz w:val="20"/>
          <w:szCs w:val="20"/>
        </w:rPr>
        <w:t xml:space="preserve"> </w:t>
      </w:r>
      <w:r>
        <w:rPr>
          <w:rFonts w:ascii="Arial" w:eastAsia="맑은 고딕"/>
          <w:sz w:val="20"/>
          <w:szCs w:val="20"/>
        </w:rPr>
        <w:t>11</w:t>
      </w:r>
    </w:p>
    <w:p>
      <w:pPr>
        <w:ind w:left="320"/>
        <w:tabs>
          <w:tab w:val="right" w:pos="8788" w:leader="dot"/>
        </w:tabs>
        <w:spacing w:after="40" w:line="384" w:lineRule="auto"/>
      </w:pPr>
      <w:r>
        <w:rPr>
          <w:rFonts w:ascii="Arial" w:eastAsia="맑은 고딕" w:hAnsi="Arial"/>
          <w:b w:val="0"/>
          <w:bCs w:val="0"/>
          <w:sz w:val="20"/>
          <w:szCs w:val="20"/>
        </w:rPr>
        <w:t>3. 법정 기준과 대전의 위치</w:t>
      </w:r>
      <w:r>
        <w:rPr>
          <w:rFonts w:ascii="Arial" w:eastAsia="맑은 고딕"/>
          <w:sz w:val="20"/>
          <w:szCs w:val="20"/>
        </w:rPr>
        <w:t xml:space="preserve"> </w:t>
      </w:r>
      <w:r>
        <w:rPr>
          <w:rFonts w:ascii="Arial" w:eastAsia="맑은 고딕"/>
          <w:sz w:val="20"/>
          <w:szCs w:val="20"/>
        </w:rPr>
        <w:t>11</w:t>
      </w:r>
    </w:p>
    <w:p>
      <w:pPr>
        <w:ind w:left="320"/>
        <w:tabs>
          <w:tab w:val="right" w:pos="8788" w:leader="dot"/>
        </w:tabs>
        <w:spacing w:after="40" w:line="384" w:lineRule="auto"/>
      </w:pPr>
      <w:r>
        <w:rPr>
          <w:rFonts w:ascii="Arial" w:eastAsia="맑은 고딕" w:hAnsi="Arial"/>
          <w:b w:val="0"/>
          <w:bCs w:val="0"/>
          <w:sz w:val="20"/>
          <w:szCs w:val="20"/>
        </w:rPr>
        <w:t>4. 지방채 발행 한도</w:t>
      </w:r>
      <w:r>
        <w:rPr>
          <w:rFonts w:ascii="Arial" w:eastAsia="맑은 고딕"/>
          <w:sz w:val="20"/>
          <w:szCs w:val="20"/>
        </w:rPr>
        <w:t xml:space="preserve"> </w:t>
      </w:r>
      <w:r>
        <w:rPr>
          <w:rFonts w:ascii="Arial" w:eastAsia="맑은 고딕"/>
          <w:sz w:val="20"/>
          <w:szCs w:val="20"/>
        </w:rPr>
        <w:t>14</w:t>
      </w:r>
    </w:p>
    <w:p>
      <w:pPr>
        <w:ind w:left="320"/>
        <w:tabs>
          <w:tab w:val="right" w:pos="8788" w:leader="dot"/>
        </w:tabs>
        <w:spacing w:after="40" w:line="384" w:lineRule="auto"/>
      </w:pPr>
      <w:r>
        <w:rPr>
          <w:rFonts w:ascii="Arial" w:eastAsia="맑은 고딕" w:hAnsi="Arial"/>
          <w:b w:val="0"/>
          <w:bCs w:val="0"/>
          <w:sz w:val="20"/>
          <w:szCs w:val="20"/>
        </w:rPr>
        <w:t>5. 결산이 뒷받침하는 것과 그렇지 않은 것</w:t>
      </w:r>
      <w:r>
        <w:rPr>
          <w:rFonts w:ascii="Arial" w:eastAsia="맑은 고딕"/>
          <w:sz w:val="20"/>
          <w:szCs w:val="20"/>
        </w:rPr>
        <w:t xml:space="preserve"> </w:t>
      </w:r>
      <w:r>
        <w:rPr>
          <w:rFonts w:ascii="Arial" w:eastAsia="맑은 고딕"/>
          <w:sz w:val="20"/>
          <w:szCs w:val="20"/>
        </w:rPr>
        <w:t>14</w:t>
      </w:r>
    </w:p>
    <w:p>
      <w:pPr>
        <w:tabs>
          <w:tab w:val="right" w:pos="8788" w:leader="dot"/>
        </w:tabs>
        <w:spacing w:after="40" w:line="384" w:lineRule="auto"/>
      </w:pPr>
      <w:r>
        <w:rPr>
          <w:rFonts w:ascii="Arial" w:eastAsia="맑은 고딕" w:hAnsi="Arial"/>
          <w:b/>
          <w:bCs/>
          <w:sz w:val="20"/>
          <w:szCs w:val="20"/>
        </w:rPr>
        <w:t>Ⅳ. 이월 실태 — 대표 사례 두 건</w:t>
      </w:r>
      <w:r>
        <w:rPr>
          <w:rFonts w:ascii="Arial" w:eastAsia="맑은 고딕"/>
          <w:sz w:val="20"/>
          <w:szCs w:val="20"/>
        </w:rPr>
        <w:t xml:space="preserve"> </w:t>
      </w:r>
      <w:r>
        <w:rPr>
          <w:rFonts w:ascii="Arial" w:eastAsia="맑은 고딕"/>
          <w:sz w:val="20"/>
          <w:szCs w:val="20"/>
        </w:rPr>
        <w:t>16</w:t>
      </w:r>
    </w:p>
    <w:p>
      <w:pPr>
        <w:ind w:left="320"/>
        <w:tabs>
          <w:tab w:val="right" w:pos="8788" w:leader="dot"/>
        </w:tabs>
        <w:spacing w:after="40" w:line="384" w:lineRule="auto"/>
      </w:pPr>
      <w:r>
        <w:rPr>
          <w:rFonts w:ascii="Arial" w:eastAsia="맑은 고딕" w:hAnsi="Arial"/>
          <w:b w:val="0"/>
          <w:bCs w:val="0"/>
          <w:sz w:val="20"/>
          <w:szCs w:val="20"/>
        </w:rPr>
        <w:t>1. 도시철도(트램) 이월 1,037억 원 — 빚으로 편성하고 넘긴 돈</w:t>
      </w:r>
      <w:r>
        <w:rPr>
          <w:rFonts w:ascii="Arial" w:eastAsia="맑은 고딕"/>
          <w:sz w:val="20"/>
          <w:szCs w:val="20"/>
        </w:rPr>
        <w:t xml:space="preserve"> </w:t>
      </w:r>
      <w:r>
        <w:rPr>
          <w:rFonts w:ascii="Arial" w:eastAsia="맑은 고딕"/>
          <w:sz w:val="20"/>
          <w:szCs w:val="20"/>
        </w:rPr>
        <w:t>16</w:t>
      </w:r>
    </w:p>
    <w:p>
      <w:pPr>
        <w:ind w:left="320"/>
        <w:tabs>
          <w:tab w:val="right" w:pos="8788" w:leader="dot"/>
        </w:tabs>
        <w:spacing w:after="40" w:line="384" w:lineRule="auto"/>
      </w:pPr>
      <w:r>
        <w:rPr>
          <w:rFonts w:ascii="Arial" w:eastAsia="맑은 고딕" w:hAnsi="Arial"/>
          <w:b w:val="0"/>
          <w:bCs w:val="0"/>
          <w:sz w:val="20"/>
          <w:szCs w:val="20"/>
        </w:rPr>
        <w:t>2. 하수도 이월 719억 원 — 재이월의 반복</w:t>
      </w:r>
      <w:r>
        <w:rPr>
          <w:rFonts w:ascii="Arial" w:eastAsia="맑은 고딕"/>
          <w:sz w:val="20"/>
          <w:szCs w:val="20"/>
        </w:rPr>
        <w:t xml:space="preserve"> </w:t>
      </w:r>
      <w:r>
        <w:rPr>
          <w:rFonts w:ascii="Arial" w:eastAsia="맑은 고딕"/>
          <w:sz w:val="20"/>
          <w:szCs w:val="20"/>
        </w:rPr>
        <w:t>18</w:t>
      </w:r>
    </w:p>
    <w:p>
      <w:pPr>
        <w:ind w:left="320"/>
        <w:tabs>
          <w:tab w:val="right" w:pos="8788" w:leader="dot"/>
        </w:tabs>
        <w:spacing w:after="40" w:line="384" w:lineRule="auto"/>
      </w:pPr>
      <w:r>
        <w:rPr>
          <w:rFonts w:ascii="Arial" w:eastAsia="맑은 고딕" w:hAnsi="Arial"/>
          <w:b w:val="0"/>
          <w:bCs w:val="0"/>
          <w:sz w:val="20"/>
          <w:szCs w:val="20"/>
        </w:rPr>
        <w:t>3. 국비는 집행, 시비는 이월</w:t>
      </w:r>
      <w:r>
        <w:rPr>
          <w:rFonts w:ascii="Arial" w:eastAsia="맑은 고딕"/>
          <w:sz w:val="20"/>
          <w:szCs w:val="20"/>
        </w:rPr>
        <w:t xml:space="preserve"> </w:t>
      </w:r>
      <w:r>
        <w:rPr>
          <w:rFonts w:ascii="Arial" w:eastAsia="맑은 고딕"/>
          <w:sz w:val="20"/>
          <w:szCs w:val="20"/>
        </w:rPr>
        <w:t>19</w:t>
      </w:r>
    </w:p>
    <w:p>
      <w:pPr>
        <w:tabs>
          <w:tab w:val="right" w:pos="8788" w:leader="dot"/>
        </w:tabs>
        <w:spacing w:after="40" w:line="384" w:lineRule="auto"/>
      </w:pPr>
      <w:r>
        <w:rPr>
          <w:rFonts w:ascii="Arial" w:eastAsia="맑은 고딕" w:hAnsi="Arial"/>
          <w:b/>
          <w:bCs/>
          <w:sz w:val="20"/>
          <w:szCs w:val="20"/>
        </w:rPr>
        <w:t>Ⅴ. 부채 구조 — 대전도시공사</w:t>
      </w:r>
      <w:r>
        <w:rPr>
          <w:rFonts w:ascii="Arial" w:eastAsia="맑은 고딕"/>
          <w:sz w:val="20"/>
          <w:szCs w:val="20"/>
        </w:rPr>
        <w:t xml:space="preserve"> </w:t>
      </w:r>
      <w:r>
        <w:rPr>
          <w:rFonts w:ascii="Arial" w:eastAsia="맑은 고딕"/>
          <w:sz w:val="20"/>
          <w:szCs w:val="20"/>
        </w:rPr>
        <w:t>20</w:t>
      </w:r>
    </w:p>
    <w:p>
      <w:pPr>
        <w:ind w:left="320"/>
        <w:tabs>
          <w:tab w:val="right" w:pos="8788" w:leader="dot"/>
        </w:tabs>
        <w:spacing w:after="40" w:line="384" w:lineRule="auto"/>
      </w:pPr>
      <w:r>
        <w:rPr>
          <w:rFonts w:ascii="Arial" w:eastAsia="맑은 고딕" w:hAnsi="Arial"/>
          <w:b w:val="0"/>
          <w:bCs w:val="0"/>
          <w:sz w:val="20"/>
          <w:szCs w:val="20"/>
        </w:rPr>
        <w:t>1. 지방공사·공단 부채 증가의 실체</w:t>
      </w:r>
      <w:r>
        <w:rPr>
          <w:rFonts w:ascii="Arial" w:eastAsia="맑은 고딕"/>
          <w:sz w:val="20"/>
          <w:szCs w:val="20"/>
        </w:rPr>
        <w:t xml:space="preserve"> </w:t>
      </w:r>
      <w:r>
        <w:rPr>
          <w:rFonts w:ascii="Arial" w:eastAsia="맑은 고딕"/>
          <w:sz w:val="20"/>
          <w:szCs w:val="20"/>
        </w:rPr>
        <w:t>20</w:t>
      </w:r>
    </w:p>
    <w:p>
      <w:pPr>
        <w:ind w:left="320"/>
        <w:tabs>
          <w:tab w:val="right" w:pos="8788" w:leader="dot"/>
        </w:tabs>
        <w:spacing w:after="40" w:line="384" w:lineRule="auto"/>
      </w:pPr>
      <w:r>
        <w:rPr>
          <w:rFonts w:ascii="Arial" w:eastAsia="맑은 고딕" w:hAnsi="Arial"/>
          <w:b w:val="0"/>
          <w:bCs w:val="0"/>
          <w:sz w:val="20"/>
          <w:szCs w:val="20"/>
        </w:rPr>
        <w:t>2. 세입의 절반이 빌린 돈</w:t>
      </w:r>
      <w:r>
        <w:rPr>
          <w:rFonts w:ascii="Arial" w:eastAsia="맑은 고딕"/>
          <w:sz w:val="20"/>
          <w:szCs w:val="20"/>
        </w:rPr>
        <w:t xml:space="preserve"> </w:t>
      </w:r>
      <w:r>
        <w:rPr>
          <w:rFonts w:ascii="Arial" w:eastAsia="맑은 고딕"/>
          <w:sz w:val="20"/>
          <w:szCs w:val="20"/>
        </w:rPr>
        <w:t>20</w:t>
      </w:r>
    </w:p>
    <w:p>
      <w:pPr>
        <w:ind w:left="320"/>
        <w:tabs>
          <w:tab w:val="right" w:pos="8788" w:leader="dot"/>
        </w:tabs>
        <w:spacing w:after="40" w:line="384" w:lineRule="auto"/>
      </w:pPr>
      <w:r>
        <w:rPr>
          <w:rFonts w:ascii="Arial" w:eastAsia="맑은 고딕" w:hAnsi="Arial"/>
          <w:b w:val="0"/>
          <w:bCs w:val="0"/>
          <w:sz w:val="20"/>
          <w:szCs w:val="20"/>
        </w:rPr>
        <w:t>3. 본예산 밖에서 조달되는 사업 자금</w:t>
      </w:r>
      <w:r>
        <w:rPr>
          <w:rFonts w:ascii="Arial" w:eastAsia="맑은 고딕"/>
          <w:sz w:val="20"/>
          <w:szCs w:val="20"/>
        </w:rPr>
        <w:t xml:space="preserve"> </w:t>
      </w:r>
      <w:r>
        <w:rPr>
          <w:rFonts w:ascii="Arial" w:eastAsia="맑은 고딕"/>
          <w:sz w:val="20"/>
          <w:szCs w:val="20"/>
        </w:rPr>
        <w:t>21</w:t>
      </w:r>
    </w:p>
    <w:p>
      <w:pPr>
        <w:tabs>
          <w:tab w:val="right" w:pos="8788" w:leader="dot"/>
        </w:tabs>
        <w:spacing w:after="40" w:line="384" w:lineRule="auto"/>
      </w:pPr>
      <w:r>
        <w:rPr>
          <w:rFonts w:ascii="Arial" w:eastAsia="맑은 고딕" w:hAnsi="Arial"/>
          <w:b/>
          <w:bCs/>
          <w:sz w:val="20"/>
          <w:szCs w:val="20"/>
        </w:rPr>
        <w:t>Ⅵ. 10년 재정 추이(2016~2025)</w:t>
      </w:r>
      <w:r>
        <w:rPr>
          <w:rFonts w:ascii="Arial" w:eastAsia="맑은 고딕"/>
          <w:sz w:val="20"/>
          <w:szCs w:val="20"/>
        </w:rPr>
        <w:t xml:space="preserve"> </w:t>
      </w:r>
      <w:r>
        <w:rPr>
          <w:rFonts w:ascii="Arial" w:eastAsia="맑은 고딕"/>
          <w:sz w:val="20"/>
          <w:szCs w:val="20"/>
        </w:rPr>
        <w:t>22</w:t>
      </w:r>
    </w:p>
    <w:p>
      <w:pPr>
        <w:ind w:left="320"/>
        <w:tabs>
          <w:tab w:val="right" w:pos="8788" w:leader="dot"/>
        </w:tabs>
        <w:spacing w:after="40" w:line="384" w:lineRule="auto"/>
      </w:pPr>
      <w:r>
        <w:rPr>
          <w:rFonts w:ascii="Arial" w:eastAsia="맑은 고딕" w:hAnsi="Arial"/>
          <w:b w:val="0"/>
          <w:bCs w:val="0"/>
          <w:sz w:val="20"/>
          <w:szCs w:val="20"/>
        </w:rPr>
        <w:t>1. 몸집은 2배, 빚은 그보다 빠르게</w:t>
      </w:r>
      <w:r>
        <w:rPr>
          <w:rFonts w:ascii="Arial" w:eastAsia="맑은 고딕"/>
          <w:sz w:val="20"/>
          <w:szCs w:val="20"/>
        </w:rPr>
        <w:t xml:space="preserve"> </w:t>
      </w:r>
      <w:r>
        <w:rPr>
          <w:rFonts w:ascii="Arial" w:eastAsia="맑은 고딕"/>
          <w:sz w:val="20"/>
          <w:szCs w:val="20"/>
        </w:rPr>
        <w:t>22</w:t>
      </w:r>
    </w:p>
    <w:p>
      <w:pPr>
        <w:ind w:left="320"/>
        <w:tabs>
          <w:tab w:val="right" w:pos="8788" w:leader="dot"/>
        </w:tabs>
        <w:spacing w:after="40" w:line="384" w:lineRule="auto"/>
      </w:pPr>
      <w:r>
        <w:rPr>
          <w:rFonts w:ascii="Arial" w:eastAsia="맑은 고딕" w:hAnsi="Arial"/>
          <w:b w:val="0"/>
          <w:bCs w:val="0"/>
          <w:sz w:val="20"/>
          <w:szCs w:val="20"/>
        </w:rPr>
        <w:t>2. 지출 구조의 변화</w:t>
      </w:r>
      <w:r>
        <w:rPr>
          <w:rFonts w:ascii="Arial" w:eastAsia="맑은 고딕"/>
          <w:sz w:val="20"/>
          <w:szCs w:val="20"/>
        </w:rPr>
        <w:t xml:space="preserve"> </w:t>
      </w:r>
      <w:r>
        <w:rPr>
          <w:rFonts w:ascii="Arial" w:eastAsia="맑은 고딕"/>
          <w:sz w:val="20"/>
          <w:szCs w:val="20"/>
        </w:rPr>
        <w:t>22</w:t>
      </w:r>
    </w:p>
    <w:p>
      <w:pPr>
        <w:ind w:left="320"/>
        <w:tabs>
          <w:tab w:val="right" w:pos="8788" w:leader="dot"/>
        </w:tabs>
        <w:spacing w:after="40" w:line="384" w:lineRule="auto"/>
      </w:pPr>
      <w:r>
        <w:rPr>
          <w:rFonts w:ascii="Arial" w:eastAsia="맑은 고딕" w:hAnsi="Arial"/>
          <w:b w:val="0"/>
          <w:bCs w:val="0"/>
          <w:sz w:val="20"/>
          <w:szCs w:val="20"/>
        </w:rPr>
        <w:t>3. 공사 부채의 단절적 증가</w:t>
      </w:r>
      <w:r>
        <w:rPr>
          <w:rFonts w:ascii="Arial" w:eastAsia="맑은 고딕"/>
          <w:sz w:val="20"/>
          <w:szCs w:val="20"/>
        </w:rPr>
        <w:t xml:space="preserve"> </w:t>
      </w:r>
      <w:r>
        <w:rPr>
          <w:rFonts w:ascii="Arial" w:eastAsia="맑은 고딕"/>
          <w:sz w:val="20"/>
          <w:szCs w:val="20"/>
        </w:rPr>
        <w:t>23</w:t>
      </w:r>
    </w:p>
    <w:p>
      <w:pPr>
        <w:tabs>
          <w:tab w:val="right" w:pos="8788" w:leader="dot"/>
        </w:tabs>
        <w:spacing w:after="40" w:line="384" w:lineRule="auto"/>
      </w:pPr>
      <w:r>
        <w:rPr>
          <w:rFonts w:ascii="Arial" w:eastAsia="맑은 고딕" w:hAnsi="Arial"/>
          <w:b/>
          <w:bCs/>
          <w:sz w:val="20"/>
          <w:szCs w:val="20"/>
        </w:rPr>
        <w:t>Ⅶ. 종합 진단</w:t>
      </w:r>
      <w:r>
        <w:rPr>
          <w:rFonts w:ascii="Arial" w:eastAsia="맑은 고딕"/>
          <w:sz w:val="20"/>
          <w:szCs w:val="20"/>
        </w:rPr>
        <w:t xml:space="preserve"> </w:t>
      </w:r>
      <w:r>
        <w:rPr>
          <w:rFonts w:ascii="Arial" w:eastAsia="맑은 고딕"/>
          <w:sz w:val="20"/>
          <w:szCs w:val="20"/>
        </w:rPr>
        <w:t>24</w:t>
      </w:r>
    </w:p>
    <w:p>
      <w:pPr>
        <w:tabs>
          <w:tab w:val="right" w:pos="8788" w:leader="dot"/>
        </w:tabs>
        <w:spacing w:after="40" w:line="384" w:lineRule="auto"/>
      </w:pPr>
      <w:r>
        <w:rPr>
          <w:rFonts w:ascii="Arial" w:eastAsia="맑은 고딕" w:hAnsi="Arial"/>
          <w:b/>
          <w:bCs/>
          <w:sz w:val="20"/>
          <w:szCs w:val="20"/>
        </w:rPr>
        <w:t>Ⅷ. 확인·요구 사항</w:t>
      </w:r>
      <w:r>
        <w:rPr>
          <w:rFonts w:ascii="Arial" w:eastAsia="맑은 고딕"/>
          <w:sz w:val="20"/>
          <w:szCs w:val="20"/>
        </w:rPr>
        <w:t xml:space="preserve"> </w:t>
      </w:r>
      <w:r>
        <w:rPr>
          <w:rFonts w:ascii="Arial" w:eastAsia="맑은 고딕"/>
          <w:sz w:val="20"/>
          <w:szCs w:val="20"/>
        </w:rPr>
        <w:t>25</w:t>
      </w:r>
    </w:p>
    <w:p>
      <w:pPr>
        <w:ind w:left="320"/>
        <w:tabs>
          <w:tab w:val="right" w:pos="8788" w:leader="dot"/>
        </w:tabs>
        <w:spacing w:after="40" w:line="384" w:lineRule="auto"/>
      </w:pPr>
      <w:r>
        <w:rPr>
          <w:rFonts w:ascii="Arial" w:eastAsia="맑은 고딕" w:hAnsi="Arial"/>
          <w:b w:val="0"/>
          <w:bCs w:val="0"/>
          <w:sz w:val="20"/>
          <w:szCs w:val="20"/>
        </w:rPr>
        <w:t>1. 대전도시공사 차입금 5,546억 원의 사업별 내역과 상환계획</w:t>
      </w:r>
      <w:r>
        <w:rPr>
          <w:rFonts w:ascii="Arial" w:eastAsia="맑은 고딕"/>
          <w:sz w:val="20"/>
          <w:szCs w:val="20"/>
        </w:rPr>
        <w:t xml:space="preserve"> </w:t>
      </w:r>
      <w:r>
        <w:rPr>
          <w:rFonts w:ascii="Arial" w:eastAsia="맑은 고딕"/>
          <w:sz w:val="20"/>
          <w:szCs w:val="20"/>
        </w:rPr>
        <w:t>25</w:t>
      </w:r>
    </w:p>
    <w:p>
      <w:pPr>
        <w:ind w:left="320"/>
        <w:tabs>
          <w:tab w:val="right" w:pos="8788" w:leader="dot"/>
        </w:tabs>
        <w:spacing w:after="40" w:line="384" w:lineRule="auto"/>
      </w:pPr>
      <w:r>
        <w:rPr>
          <w:rFonts w:ascii="Arial" w:eastAsia="맑은 고딕" w:hAnsi="Arial"/>
          <w:b w:val="0"/>
          <w:bCs w:val="0"/>
          <w:sz w:val="20"/>
          <w:szCs w:val="20"/>
        </w:rPr>
        <w:t>2. 공기업특별회계(상수도·하수도)의 미집행과 이월 이유</w:t>
      </w:r>
      <w:r>
        <w:rPr>
          <w:rFonts w:ascii="Arial" w:eastAsia="맑은 고딕"/>
          <w:sz w:val="20"/>
          <w:szCs w:val="20"/>
        </w:rPr>
        <w:t xml:space="preserve"> </w:t>
      </w:r>
      <w:r>
        <w:rPr>
          <w:rFonts w:ascii="Arial" w:eastAsia="맑은 고딕"/>
          <w:sz w:val="20"/>
          <w:szCs w:val="20"/>
        </w:rPr>
        <w:t>25</w:t>
      </w:r>
    </w:p>
    <w:p>
      <w:pPr>
        <w:ind w:left="320"/>
        <w:tabs>
          <w:tab w:val="right" w:pos="8788" w:leader="dot"/>
        </w:tabs>
        <w:spacing w:after="40" w:line="384" w:lineRule="auto"/>
      </w:pPr>
      <w:r>
        <w:rPr>
          <w:rFonts w:ascii="Arial" w:eastAsia="맑은 고딕" w:hAnsi="Arial"/>
          <w:b w:val="0"/>
          <w:bCs w:val="0"/>
          <w:sz w:val="20"/>
          <w:szCs w:val="20"/>
        </w:rPr>
        <w:t>3. 2025회계연도 성과보고서와 재정혁신 71개 사업 목록</w:t>
      </w:r>
      <w:r>
        <w:rPr>
          <w:rFonts w:ascii="Arial" w:eastAsia="맑은 고딕"/>
          <w:sz w:val="20"/>
          <w:szCs w:val="20"/>
        </w:rPr>
        <w:t xml:space="preserve"> </w:t>
      </w:r>
      <w:r>
        <w:rPr>
          <w:rFonts w:ascii="Arial" w:eastAsia="맑은 고딕"/>
          <w:sz w:val="20"/>
          <w:szCs w:val="20"/>
        </w:rPr>
        <w:t>25</w:t>
      </w:r>
    </w:p>
    <w:p>
      <w:pPr>
        <w:ind w:left="320"/>
        <w:tabs>
          <w:tab w:val="right" w:pos="8788" w:leader="dot"/>
        </w:tabs>
        <w:spacing w:after="40" w:line="384" w:lineRule="auto"/>
      </w:pPr>
      <w:r>
        <w:rPr>
          <w:rFonts w:ascii="Arial" w:eastAsia="맑은 고딕" w:hAnsi="Arial"/>
          <w:b w:val="0"/>
          <w:bCs w:val="0"/>
          <w:sz w:val="20"/>
          <w:szCs w:val="20"/>
        </w:rPr>
        <w:t>4. 도시철도 2호선 이월 사유와 자금 흐름</w:t>
      </w:r>
      <w:r>
        <w:rPr>
          <w:rFonts w:ascii="Arial" w:eastAsia="맑은 고딕"/>
          <w:sz w:val="20"/>
          <w:szCs w:val="20"/>
        </w:rPr>
        <w:t xml:space="preserve"> </w:t>
      </w:r>
      <w:r>
        <w:rPr>
          <w:rFonts w:ascii="Arial" w:eastAsia="맑은 고딕"/>
          <w:sz w:val="20"/>
          <w:szCs w:val="20"/>
        </w:rPr>
        <w:t>25</w:t>
      </w:r>
    </w:p>
    <w:p>
      <w:pPr>
        <w:ind w:left="320"/>
        <w:tabs>
          <w:tab w:val="right" w:pos="8788" w:leader="dot"/>
        </w:tabs>
        <w:spacing w:after="40" w:line="384" w:lineRule="auto"/>
      </w:pPr>
      <w:r>
        <w:rPr>
          <w:rFonts w:ascii="Arial" w:eastAsia="맑은 고딕" w:hAnsi="Arial"/>
          <w:b w:val="0"/>
          <w:bCs w:val="0"/>
          <w:sz w:val="20"/>
          <w:szCs w:val="20"/>
        </w:rPr>
        <w:t>5. 채무 1조 5,864억 원의 상환계획과 미확인 재정지표</w:t>
      </w:r>
      <w:r>
        <w:rPr>
          <w:rFonts w:ascii="Arial" w:eastAsia="맑은 고딕"/>
          <w:sz w:val="20"/>
          <w:szCs w:val="20"/>
        </w:rPr>
        <w:t xml:space="preserve"> </w:t>
      </w:r>
      <w:r>
        <w:rPr>
          <w:rFonts w:ascii="Arial" w:eastAsia="맑은 고딕"/>
          <w:sz w:val="20"/>
          <w:szCs w:val="20"/>
        </w:rPr>
        <w:t>26</w:t>
      </w:r>
    </w:p>
    <w:p>
      <w:pPr>
        <w:tabs>
          <w:tab w:val="right" w:pos="8788" w:leader="dot"/>
        </w:tabs>
        <w:spacing w:after="40" w:line="384" w:lineRule="auto"/>
      </w:pPr>
      <w:r>
        <w:rPr>
          <w:rFonts w:ascii="Arial" w:eastAsia="맑은 고딕" w:hAnsi="Arial"/>
          <w:b/>
          <w:bCs/>
          <w:sz w:val="20"/>
          <w:szCs w:val="20"/>
        </w:rPr>
        <w:t>첨부 1. 예산현액 50억 원 이상·집행률 60% 미만 사업 (2025년, 18건)</w:t>
      </w:r>
      <w:r>
        <w:rPr>
          <w:rFonts w:ascii="Arial" w:eastAsia="맑은 고딕"/>
          <w:sz w:val="20"/>
          <w:szCs w:val="20"/>
        </w:rPr>
        <w:t xml:space="preserve"> </w:t>
      </w:r>
      <w:r>
        <w:rPr>
          <w:rFonts w:ascii="Arial" w:eastAsia="맑은 고딕"/>
          <w:sz w:val="20"/>
          <w:szCs w:val="20"/>
        </w:rPr>
        <w:t>27</w:t>
      </w:r>
    </w:p>
    <w:p>
      <w:pPr>
        <w:tabs>
          <w:tab w:val="right" w:pos="8788" w:leader="dot"/>
        </w:tabs>
        <w:spacing w:after="40" w:line="384" w:lineRule="auto"/>
      </w:pPr>
      <w:r>
        <w:rPr>
          <w:rFonts w:ascii="Arial" w:eastAsia="맑은 고딕" w:hAnsi="Arial"/>
          <w:b/>
          <w:bCs/>
          <w:sz w:val="20"/>
          <w:szCs w:val="20"/>
        </w:rPr>
        <w:t>첨부 2. 3년 연속(2023~2025) 집행률 70% 미만 사업 (2025년 예산현액 50억 원 이상, 11건)</w:t>
      </w:r>
      <w:r>
        <w:rPr>
          <w:rFonts w:ascii="Arial" w:eastAsia="맑은 고딕"/>
          <w:sz w:val="20"/>
          <w:szCs w:val="20"/>
        </w:rPr>
        <w:t xml:space="preserve"> </w:t>
      </w:r>
      <w:r>
        <w:rPr>
          <w:rFonts w:ascii="Arial" w:eastAsia="맑은 고딕"/>
          <w:sz w:val="20"/>
          <w:szCs w:val="20"/>
        </w:rPr>
        <w:t>28</w:t>
      </w:r>
    </w:p>
    <w:p>
      <w:r>
        <w:br w:type="page"/>
      </w:r>
    </w:p>
    <w:p>
      <w:pPr>
        <w:jc w:val="left"/>
        <w:spacing w:after="140" w:before="320" w:line="384" w:lineRule="auto"/>
      </w:pPr>
      <w:r>
        <w:rPr>
          <w:rFonts w:ascii="Arial" w:eastAsia="맑은 고딕" w:hAnsi="Arial"/>
          <w:b/>
          <w:bCs/>
          <w:sz w:val="26"/>
          <w:szCs w:val="26"/>
        </w:rPr>
        <w:t>요약 — 대전광역시 재정 상태 진단과 관리 방향</w:t>
      </w:r>
    </w:p>
    <w:p>
      <w:pPr>
        <w:jc w:val="left"/>
        <w:spacing w:after="100" w:before="240" w:line="384" w:lineRule="auto"/>
      </w:pPr>
      <w:r>
        <w:rPr>
          <w:rFonts w:ascii="Arial" w:eastAsia="맑은 고딕" w:hAnsi="Arial"/>
          <w:b/>
          <w:bCs/>
          <w:sz w:val="22"/>
          <w:szCs w:val="22"/>
        </w:rPr>
        <w:t>1. 법정 기준으로 본 대전시의 현재 위치</w:t>
      </w:r>
    </w:p>
    <w:p>
      <w:pPr>
        <w:ind w:firstLine="200"/>
        <w:jc w:val="both"/>
        <w:spacing w:after="60" w:before="0" w:line="384" w:lineRule="auto"/>
      </w:pPr>
      <w:r>
        <w:rPr>
          <w:rFonts w:ascii="Arial" w:eastAsia="맑은 고딕" w:hAnsi="Arial"/>
          <w:b w:val="0"/>
          <w:bCs w:val="0"/>
          <w:sz w:val="20"/>
          <w:szCs w:val="20"/>
        </w:rPr>
        <w:t xml:space="preserve">지방재정법과 그 시행령이 정한 기준을 적용하면, 대전광역시는 현재 '재정주의단체'와 '재정위기단체' 어디에도 해당하지 않는다. 법정 재정위기 상태는 예산대비 채무비율·통합재정수지비율 등 여섯 개 지표로 판정하는 공식 지정 절차이며, 대전시는 이 가운데 </w:t>
      </w:r>
      <w:r>
        <w:rPr>
          <w:rFonts w:ascii="Arial" w:eastAsia="맑은 고딕" w:hAnsi="Arial"/>
          <w:b/>
          <w:bCs/>
          <w:sz w:val="20"/>
          <w:szCs w:val="20"/>
        </w:rPr>
        <w:t>확인 가능한 다섯 개 지표에서 어느 것도 주의 구간에 들어와 있지 않다</w:t>
      </w:r>
      <w:r>
        <w:rPr>
          <w:rFonts w:ascii="Arial" w:eastAsia="맑은 고딕" w:hAnsi="Arial"/>
          <w:b w:val="0"/>
          <w:bCs w:val="0"/>
          <w:sz w:val="20"/>
          <w:szCs w:val="20"/>
        </w:rPr>
        <w:t>(금고잔액비율은 원천 자료가 없어 판정하지 못했다). 2025년 예산대비 채무비율은 18.5%로 추정되어 주의 기준(25% 초과)까지 6.5%p 남았고, 2024년 공시된 통합재정수지비율 △5.51%는 주의 기준(△25% 초과)의 5분의 1 수준이다.</w:t>
      </w:r>
    </w:p>
    <w:p>
      <w:pPr>
        <w:ind w:firstLine="200"/>
        <w:jc w:val="both"/>
        <w:spacing w:after="60" w:before="0" w:line="384" w:lineRule="auto"/>
      </w:pPr>
      <w:r>
        <w:rPr>
          <w:rFonts w:ascii="Arial" w:eastAsia="맑은 고딕" w:hAnsi="Arial"/>
          <w:b w:val="0"/>
          <w:bCs w:val="0"/>
          <w:sz w:val="20"/>
          <w:szCs w:val="20"/>
        </w:rPr>
        <w:t xml:space="preserve">그러므로 '재정위기'라는 표현을 쓸 때는 주의가 필요하다. 이 말은 </w:t>
      </w:r>
      <w:r>
        <w:rPr>
          <w:rFonts w:ascii="Arial" w:eastAsia="맑은 고딕" w:hAnsi="Arial"/>
          <w:b/>
          <w:bCs/>
          <w:sz w:val="20"/>
          <w:szCs w:val="20"/>
        </w:rPr>
        <w:t>법령상 지정 상태를 가리키는 용어이기도 하다.</w:t>
      </w:r>
      <w:r>
        <w:rPr>
          <w:rFonts w:ascii="Arial" w:eastAsia="맑은 고딕" w:hAnsi="Arial"/>
          <w:b w:val="0"/>
          <w:bCs w:val="0"/>
          <w:sz w:val="20"/>
          <w:szCs w:val="20"/>
        </w:rPr>
        <w:t xml:space="preserve"> 일반적인 의미의 재정 어려움과 법정 지정 상태를 구분하지 않으면 시민에게 불필요한 오해와 불안을 준다. 대전참여자치시민연대는 대전시가 재정 상황을 설명할 때 두 개념을 분명히 구분해 밝힐 것을 요청한다.</w:t>
      </w:r>
    </w:p>
    <w:p>
      <w:pPr>
        <w:jc w:val="left"/>
        <w:spacing w:after="100" w:before="240" w:line="384" w:lineRule="auto"/>
      </w:pPr>
      <w:r>
        <w:rPr>
          <w:rFonts w:ascii="Arial" w:eastAsia="맑은 고딕" w:hAnsi="Arial"/>
          <w:b/>
          <w:bCs/>
          <w:sz w:val="22"/>
          <w:szCs w:val="22"/>
        </w:rPr>
        <w:t>2. 문제의 본질 — 세입 부족이 아니다</w:t>
      </w:r>
    </w:p>
    <w:p>
      <w:pPr>
        <w:ind w:firstLine="200"/>
        <w:jc w:val="both"/>
        <w:spacing w:after="60" w:before="0" w:line="384" w:lineRule="auto"/>
      </w:pPr>
      <w:r>
        <w:rPr>
          <w:rFonts w:ascii="Arial" w:eastAsia="맑은 고딕" w:hAnsi="Arial"/>
          <w:b w:val="0"/>
          <w:bCs w:val="0"/>
          <w:sz w:val="20"/>
          <w:szCs w:val="20"/>
        </w:rPr>
        <w:t xml:space="preserve">결산을 여러 각도에서 분석한 결과, 현재 재정 문제의 본질은 세입이 줄었거나 재원이 총량적으로 부족한 데 있지 않다. </w:t>
      </w:r>
      <w:r>
        <w:rPr>
          <w:rFonts w:ascii="Arial" w:eastAsia="맑은 고딕" w:hAnsi="Arial"/>
          <w:b/>
          <w:bCs/>
          <w:sz w:val="20"/>
          <w:szCs w:val="20"/>
        </w:rPr>
        <w:t>2025년 세입은 예산현액의 101%가 들어왔고, 규모로도 전년보다 10.8% 늘었다.</w:t>
      </w:r>
    </w:p>
    <w:p>
      <w:pPr>
        <w:ind w:firstLine="200"/>
        <w:jc w:val="both"/>
        <w:spacing w:after="60" w:before="0" w:line="384" w:lineRule="auto"/>
      </w:pPr>
      <w:r>
        <w:rPr>
          <w:rFonts w:ascii="Arial" w:eastAsia="맑은 고딕" w:hAnsi="Arial"/>
          <w:b w:val="0"/>
          <w:bCs w:val="0"/>
          <w:sz w:val="20"/>
          <w:szCs w:val="20"/>
        </w:rPr>
        <w:t>문제는 두 가지가 겹친 데 있다.</w:t>
      </w:r>
    </w:p>
    <w:p>
      <w:pPr>
        <w:ind w:firstLine="200"/>
        <w:jc w:val="both"/>
        <w:spacing w:after="60" w:before="0" w:line="384" w:lineRule="auto"/>
      </w:pPr>
      <w:r>
        <w:rPr>
          <w:rFonts w:ascii="Arial" w:eastAsia="맑은 고딕" w:hAnsi="Arial"/>
          <w:b w:val="0"/>
          <w:bCs w:val="0"/>
          <w:sz w:val="20"/>
          <w:szCs w:val="20"/>
        </w:rPr>
        <w:t xml:space="preserve">첫째, </w:t>
      </w:r>
      <w:r>
        <w:rPr>
          <w:rFonts w:ascii="Arial" w:eastAsia="맑은 고딕" w:hAnsi="Arial"/>
          <w:b/>
          <w:bCs/>
          <w:sz w:val="20"/>
          <w:szCs w:val="20"/>
        </w:rPr>
        <w:t>스스로 버는 돈이 제자리다.</w:t>
      </w:r>
      <w:r>
        <w:rPr>
          <w:rFonts w:ascii="Arial" w:eastAsia="맑은 고딕" w:hAnsi="Arial"/>
          <w:b w:val="0"/>
          <w:bCs w:val="0"/>
          <w:sz w:val="20"/>
          <w:szCs w:val="20"/>
        </w:rPr>
        <w:t xml:space="preserve"> 자체수입(지방세+세외수입)은 5년 사이 7.0% 늘어 세출 증가(14.8%)의 절반에 못 미쳤고, 세입에서 차지하는 비중은 36.34%에서 </w:t>
      </w:r>
      <w:r>
        <w:rPr>
          <w:rFonts w:ascii="Arial" w:eastAsia="맑은 고딕" w:hAnsi="Arial"/>
          <w:b/>
          <w:bCs/>
          <w:sz w:val="20"/>
          <w:szCs w:val="20"/>
        </w:rPr>
        <w:t>34.39%로 떨어졌다.</w:t>
      </w:r>
      <w:r>
        <w:rPr>
          <w:rFonts w:ascii="Arial" w:eastAsia="맑은 고딕" w:hAnsi="Arial"/>
          <w:b w:val="0"/>
          <w:bCs w:val="0"/>
          <w:sz w:val="20"/>
          <w:szCs w:val="20"/>
        </w:rPr>
        <w:t xml:space="preserve"> 2025년 세입 증가 8,056억 원 가운데 7,922억 원(98.3%)이 국고보조금이었다. 규모는 커졌지만 시가 재량으로 쓸 수 있는 돈은 늘지 않았다.</w:t>
      </w:r>
    </w:p>
    <w:p>
      <w:pPr>
        <w:ind w:firstLine="200"/>
        <w:jc w:val="both"/>
        <w:spacing w:after="60" w:before="0" w:line="384" w:lineRule="auto"/>
      </w:pPr>
      <w:r>
        <w:rPr>
          <w:rFonts w:ascii="Arial" w:eastAsia="맑은 고딕" w:hAnsi="Arial"/>
          <w:b w:val="0"/>
          <w:bCs w:val="0"/>
          <w:sz w:val="20"/>
          <w:szCs w:val="20"/>
        </w:rPr>
        <w:t xml:space="preserve">둘째, </w:t>
      </w:r>
      <w:r>
        <w:rPr>
          <w:rFonts w:ascii="Arial" w:eastAsia="맑은 고딕" w:hAnsi="Arial"/>
          <w:b/>
          <w:bCs/>
          <w:sz w:val="20"/>
          <w:szCs w:val="20"/>
        </w:rPr>
        <w:t>빚으로 추진한 대형 사업의 집행이 계획을 따라가지 못한다.</w:t>
      </w:r>
      <w:r>
        <w:rPr>
          <w:rFonts w:ascii="Arial" w:eastAsia="맑은 고딕" w:hAnsi="Arial"/>
          <w:b w:val="0"/>
          <w:bCs w:val="0"/>
          <w:sz w:val="20"/>
          <w:szCs w:val="20"/>
        </w:rPr>
        <w:t xml:space="preserve"> 채무는 2025년 말 1조 5,864억 원으로 3년 만에 58% 늘었다. 대표 사업인 도시철도 2호선은 2025년 예산의 32%를 집행하지 못했고, 개통은 2030년 하반기로 미뤄졌다는 보도가 있다. 남은 사업비가 1조 2,000억 원대여서 앞으로 몇 년간은 연간 집행 규모를 크게 늘려야 하며, 그만큼 추가 차입 가능성도 커진다. </w:t>
      </w:r>
      <w:r>
        <w:rPr>
          <w:rFonts w:ascii="Arial" w:eastAsia="맑은 고딕" w:hAnsi="Arial"/>
          <w:b/>
          <w:bCs/>
          <w:sz w:val="20"/>
          <w:szCs w:val="20"/>
        </w:rPr>
        <w:t>최근 5년 평균 채무 증가 속도(연 1.7%p)가 이어지면 약 4년 뒤 법정 주의 기준선에 닿는다.</w:t>
      </w:r>
    </w:p>
    <w:p>
      <w:pPr>
        <w:ind w:firstLine="200"/>
        <w:jc w:val="both"/>
        <w:spacing w:after="60" w:before="0" w:line="384" w:lineRule="auto"/>
      </w:pPr>
      <w:r>
        <w:rPr>
          <w:rFonts w:ascii="Arial" w:eastAsia="맑은 고딕" w:hAnsi="Arial"/>
          <w:b w:val="0"/>
          <w:bCs w:val="0"/>
          <w:sz w:val="20"/>
          <w:szCs w:val="20"/>
        </w:rPr>
        <w:t xml:space="preserve">여기에 시 본청 밖의 부담이 </w:t>
      </w:r>
      <w:r>
        <w:rPr>
          <w:lang w:eastAsia="ko-KR"/>
          <w:rFonts w:ascii="Arial" w:eastAsia="맑은 고딕" w:hAnsi="Arial"/>
          <w:b w:val="0"/>
          <w:bCs w:val="0"/>
          <w:sz w:val="20"/>
          <w:szCs w:val="20"/>
          <w:rtl w:val="off"/>
        </w:rPr>
        <w:t>추가된</w:t>
      </w:r>
      <w:r>
        <w:rPr>
          <w:rFonts w:ascii="Arial" w:eastAsia="맑은 고딕" w:hAnsi="Arial"/>
          <w:b w:val="0"/>
          <w:bCs w:val="0"/>
          <w:sz w:val="20"/>
          <w:szCs w:val="20"/>
        </w:rPr>
        <w:t xml:space="preserve">다. 공사·공단 4곳의 부채는 한 해에 5,708억 원에서 9,591억 원으로 68% 늘었고, 그 증가의 대부분이 대전도시공사 한 곳에서 나왔다. 도시공사는 2025년 세입의 50.8%인 5,546억 원을 차입으로 조달했다. </w:t>
      </w:r>
      <w:r>
        <w:rPr>
          <w:rFonts w:ascii="Arial" w:eastAsia="맑은 고딕" w:hAnsi="Arial"/>
          <w:b/>
          <w:bCs/>
          <w:sz w:val="20"/>
          <w:szCs w:val="20"/>
        </w:rPr>
        <w:t>본청 기준 법정 지표에는 이 부담이 잡히지 않는다.</w:t>
      </w:r>
    </w:p>
    <w:p>
      <w:pPr>
        <w:jc w:val="left"/>
        <w:spacing w:after="100" w:before="240" w:line="384" w:lineRule="auto"/>
      </w:pPr>
      <w:r>
        <w:rPr>
          <w:rFonts w:ascii="Arial" w:eastAsia="맑은 고딕" w:hAnsi="Arial"/>
          <w:b/>
          <w:bCs/>
          <w:sz w:val="22"/>
          <w:szCs w:val="22"/>
        </w:rPr>
        <w:t>3. 결산심사에서 검증해야 할 세 가지</w:t>
      </w:r>
    </w:p>
    <w:p>
      <w:pPr>
        <w:ind w:firstLine="200"/>
        <w:jc w:val="both"/>
        <w:spacing w:after="60" w:before="0" w:line="384" w:lineRule="auto"/>
      </w:pPr>
      <w:r>
        <w:rPr>
          <w:rFonts w:ascii="Arial" w:eastAsia="맑은 고딕" w:hAnsi="Arial"/>
          <w:b w:val="0"/>
          <w:bCs w:val="0"/>
          <w:sz w:val="20"/>
          <w:szCs w:val="20"/>
        </w:rPr>
        <w:t>따라서 이번 결산심사와 재정 평가의 핵심 의제는 "돈이 없느냐"가 아니어야 한다. 다음 세 가지가 구체적이고 객관적으로 검증되어야 한다.</w:t>
      </w:r>
    </w:p>
    <w:p>
      <w:pPr>
        <w:ind w:firstLine="200"/>
        <w:jc w:val="both"/>
        <w:spacing w:after="60" w:before="0" w:line="384" w:lineRule="auto"/>
      </w:pPr>
      <w:r>
        <w:rPr>
          <w:rFonts w:ascii="Arial" w:eastAsia="맑은 고딕" w:hAnsi="Arial"/>
          <w:b/>
          <w:bCs/>
          <w:sz w:val="20"/>
          <w:szCs w:val="20"/>
        </w:rPr>
        <w:t>첫째, 자체수입을 늘릴 방안이 실효성이 있는가.</w:t>
      </w:r>
      <w:r>
        <w:rPr>
          <w:rFonts w:ascii="Arial" w:eastAsia="맑은 고딕" w:hAnsi="Arial"/>
          <w:b w:val="0"/>
          <w:bCs w:val="0"/>
          <w:sz w:val="20"/>
          <w:szCs w:val="20"/>
        </w:rPr>
        <w:t xml:space="preserve"> 지방세는 2022년 수준을 3년째 회복하지 못했고 자체수입 비율은 5년 연속 떨어졌다. 세입 기반 확충 계획과 그 이행 실적이 확인되어야 한다.</w:t>
      </w:r>
    </w:p>
    <w:p>
      <w:pPr>
        <w:ind w:firstLine="200"/>
        <w:jc w:val="both"/>
        <w:spacing w:after="60" w:before="0" w:line="384" w:lineRule="auto"/>
      </w:pPr>
      <w:r>
        <w:rPr>
          <w:rFonts w:ascii="Arial" w:eastAsia="맑은 고딕" w:hAnsi="Arial"/>
          <w:b/>
          <w:bCs/>
          <w:sz w:val="20"/>
          <w:szCs w:val="20"/>
        </w:rPr>
        <w:t>둘째, 지방채로 추진하는 대형 투자사업의 집행 계획이 현실적인가.</w:t>
      </w:r>
      <w:r>
        <w:rPr>
          <w:rFonts w:ascii="Arial" w:eastAsia="맑은 고딕" w:hAnsi="Arial"/>
          <w:b w:val="0"/>
          <w:bCs w:val="0"/>
          <w:sz w:val="20"/>
          <w:szCs w:val="20"/>
        </w:rPr>
        <w:t xml:space="preserve"> 연차별 재원 조달 대책과 함께 확인되어야 한다. 2025년 이월 3,679억 원 가운데 절반 가까이가 도시철도와 하수도 두 회계에서 나왔고, 예산현액 50억 원 이상이면서 집행률이 60%에 못 미친 사업이 18건, 그중 3년 연속 저집행이 11건이다(첨부 1·2).</w:t>
      </w:r>
    </w:p>
    <w:p>
      <w:pPr>
        <w:ind w:firstLine="200"/>
        <w:jc w:val="both"/>
        <w:spacing w:after="60" w:before="0" w:line="384" w:lineRule="auto"/>
      </w:pPr>
      <w:r>
        <w:rPr>
          <w:rFonts w:ascii="Arial" w:eastAsia="맑은 고딕" w:hAnsi="Arial"/>
          <w:b/>
          <w:bCs/>
          <w:sz w:val="20"/>
          <w:szCs w:val="20"/>
        </w:rPr>
        <w:t>셋째, 지방공기업과 산하기관 부채를 포함한 시 전체의 실질적 통합 재정 부담이 얼마인가.</w:t>
      </w:r>
      <w:r>
        <w:rPr>
          <w:rFonts w:ascii="Arial" w:eastAsia="맑은 고딕" w:hAnsi="Arial"/>
          <w:b w:val="0"/>
          <w:bCs w:val="0"/>
          <w:sz w:val="20"/>
          <w:szCs w:val="20"/>
        </w:rPr>
        <w:t xml:space="preserve"> 도시공사 차입 5,546억 원의 사업별 내역과 상환계획은 결산서에 총액만 적혀 있다.</w:t>
      </w:r>
    </w:p>
    <w:p>
      <w:pPr>
        <w:jc w:val="left"/>
        <w:spacing w:after="100" w:before="240" w:line="384" w:lineRule="auto"/>
      </w:pPr>
      <w:r>
        <w:rPr>
          <w:rFonts w:ascii="Arial" w:eastAsia="맑은 고딕" w:hAnsi="Arial"/>
          <w:b/>
          <w:bCs/>
          <w:sz w:val="22"/>
          <w:szCs w:val="22"/>
        </w:rPr>
        <w:t>4. 재정 건전화를 위한 관리 방향</w:t>
      </w:r>
    </w:p>
    <w:p>
      <w:pPr>
        <w:ind w:firstLine="200"/>
        <w:jc w:val="both"/>
        <w:spacing w:after="60" w:before="0" w:line="384" w:lineRule="auto"/>
      </w:pPr>
      <w:r>
        <w:rPr>
          <w:rFonts w:ascii="Arial" w:eastAsia="맑은 고딕" w:hAnsi="Arial"/>
          <w:b w:val="0"/>
          <w:bCs w:val="0"/>
          <w:sz w:val="20"/>
          <w:szCs w:val="20"/>
        </w:rPr>
        <w:t>대전시가 법정 재정위기 단계로 들어가지 않으려면 선제적이고 체계적인 관리가 필요하다. 대전참여자치시민연대는 세 가지를 제안한다.</w:t>
      </w:r>
    </w:p>
    <w:p>
      <w:pPr>
        <w:ind w:firstLine="200"/>
        <w:jc w:val="both"/>
        <w:spacing w:after="60" w:before="0" w:line="384" w:lineRule="auto"/>
      </w:pPr>
      <w:r>
        <w:rPr>
          <w:rFonts w:ascii="Arial" w:eastAsia="맑은 고딕" w:hAnsi="Arial"/>
          <w:b/>
          <w:bCs/>
          <w:sz w:val="20"/>
          <w:szCs w:val="20"/>
        </w:rPr>
        <w:t>첫째, 중장기 재정계획과 연계해 대형 사업의 우선순위를 엄격히 재조정해야 한다.</w:t>
      </w:r>
      <w:r>
        <w:rPr>
          <w:rFonts w:ascii="Arial" w:eastAsia="맑은 고딕" w:hAnsi="Arial"/>
          <w:b w:val="0"/>
          <w:bCs w:val="0"/>
          <w:sz w:val="20"/>
          <w:szCs w:val="20"/>
        </w:rPr>
        <w:t xml:space="preserve"> 2026년 7월 발표된 재정혁신 방안이 그 첫 단계라면, 조정 대상 71개 사업의 목록과 판단 근거가 공개되어 결산에서 확인된 저집행 사업과 대조될 수 있어야 한다.</w:t>
      </w:r>
    </w:p>
    <w:p>
      <w:pPr>
        <w:ind w:firstLine="200"/>
        <w:jc w:val="both"/>
        <w:spacing w:after="60" w:before="0" w:line="384" w:lineRule="auto"/>
      </w:pPr>
      <w:r>
        <w:rPr>
          <w:rFonts w:ascii="Arial" w:eastAsia="맑은 고딕" w:hAnsi="Arial"/>
          <w:b/>
          <w:bCs/>
          <w:sz w:val="20"/>
          <w:szCs w:val="20"/>
        </w:rPr>
        <w:t>둘째, 사업 일정 지연에 따른 이자 부담과 불용액을 최소화하는 집행 관리가 필요하다.</w:t>
      </w:r>
      <w:r>
        <w:rPr>
          <w:rFonts w:ascii="Arial" w:eastAsia="맑은 고딕" w:hAnsi="Arial"/>
          <w:b w:val="0"/>
          <w:bCs w:val="0"/>
          <w:sz w:val="20"/>
          <w:szCs w:val="20"/>
        </w:rPr>
        <w:t xml:space="preserve"> 2025년 도시철도사업특별회계는 지방채 973억 원을 모두 하반기에 발행했고, 그중 590억 원은 연말까지 9일밖에 남지 않은 시점의 조달이었다. 조달과 집행의 시점이 벌어지면 쓰지 않은 돈에 이자가 붙는다. 다만 2025년 이 회계의 실제 이자 지출은 연초 편성액과 거의 같아 기존 채무의 이자로 보이며, 신규 발행분의 이자 부담은 2026년 결산에서 드러날 것으로 보인다.</w:t>
      </w:r>
    </w:p>
    <w:p>
      <w:pPr>
        <w:ind w:firstLine="200"/>
        <w:jc w:val="both"/>
        <w:spacing w:after="60" w:before="0" w:line="384" w:lineRule="auto"/>
      </w:pPr>
      <w:r>
        <w:rPr>
          <w:rFonts w:ascii="Arial" w:eastAsia="맑은 고딕" w:hAnsi="Arial"/>
          <w:b/>
          <w:bCs/>
          <w:sz w:val="20"/>
          <w:szCs w:val="20"/>
        </w:rPr>
        <w:t>셋째, 본청 채무와 산하기관 채무를 함께 관리하는 통합 부채 관리 체계를 강화해야 한다.</w:t>
      </w:r>
      <w:r>
        <w:rPr>
          <w:rFonts w:ascii="Arial" w:eastAsia="맑은 고딕" w:hAnsi="Arial"/>
          <w:b w:val="0"/>
          <w:bCs w:val="0"/>
          <w:sz w:val="20"/>
          <w:szCs w:val="20"/>
        </w:rPr>
        <w:t xml:space="preserve"> 시 지방채는 의회 의결과 공시를 거치지만 공사의 차입은 그 밖에 있다. 재정 위험이 시 전체로 옮겨오는 것을 막으려면 이 사각지대를 먼저 메워야 한다.</w:t>
      </w:r>
    </w:p>
    <w:p>
      <w:r>
        <w:br w:type="page"/>
      </w:r>
    </w:p>
    <w:p>
      <w:pPr>
        <w:jc w:val="left"/>
        <w:spacing w:after="140" w:before="320" w:line="384" w:lineRule="auto"/>
      </w:pPr>
      <w:r>
        <w:rPr>
          <w:rFonts w:ascii="Arial" w:eastAsia="맑은 고딕" w:hAnsi="Arial"/>
          <w:b/>
          <w:bCs/>
          <w:sz w:val="26"/>
          <w:szCs w:val="26"/>
        </w:rPr>
        <w:t>Ⅰ. 분석 개요</w:t>
      </w:r>
    </w:p>
    <w:p>
      <w:pPr>
        <w:jc w:val="left"/>
        <w:spacing w:after="100" w:before="240" w:line="384" w:lineRule="auto"/>
      </w:pPr>
      <w:r>
        <w:rPr>
          <w:rFonts w:ascii="Arial" w:eastAsia="맑은 고딕" w:hAnsi="Arial"/>
          <w:b/>
          <w:bCs/>
          <w:sz w:val="22"/>
          <w:szCs w:val="22"/>
        </w:rPr>
        <w:t>1. 분석 배경과 확보한 자료</w:t>
      </w:r>
    </w:p>
    <w:p>
      <w:pPr>
        <w:ind w:firstLine="200"/>
        <w:jc w:val="both"/>
        <w:spacing w:after="60" w:before="0" w:line="384" w:lineRule="auto"/>
      </w:pPr>
      <w:r>
        <w:rPr>
          <w:rFonts w:ascii="Arial" w:eastAsia="맑은 고딕" w:hAnsi="Arial"/>
          <w:b w:val="0"/>
          <w:bCs w:val="0"/>
          <w:sz w:val="20"/>
          <w:szCs w:val="20"/>
        </w:rPr>
        <w:t>대전광역시는 2026년 9월 대전광역시의회 결산심사를 앞두고 「2025회계연도 결산서」를 작성했다. 이 보고서는 그 심사에 앞서 시민의 관점에서 확인해야 할 지점을 정리한 것이다.</w:t>
      </w:r>
    </w:p>
    <w:p>
      <w:pPr>
        <w:ind w:firstLine="200"/>
        <w:jc w:val="both"/>
        <w:spacing w:after="60" w:before="0" w:line="384" w:lineRule="auto"/>
      </w:pPr>
      <w:r>
        <w:rPr>
          <w:rFonts w:ascii="Arial" w:eastAsia="맑은 고딕" w:hAnsi="Arial"/>
          <w:b w:val="0"/>
          <w:bCs w:val="0"/>
          <w:sz w:val="20"/>
          <w:szCs w:val="20"/>
        </w:rPr>
        <w:t>대전참여자치시민연대의 분석대상은 아래와 같다.</w:t>
      </w:r>
    </w:p>
    <w:p>
      <w:pPr>
        <w:ind w:left="300" w:hanging="200"/>
        <w:jc w:val="both"/>
        <w:spacing w:after="60" w:before="0" w:line="384" w:lineRule="auto"/>
      </w:pPr>
      <w:r>
        <w:rPr>
          <w:rFonts w:ascii="Arial" w:eastAsia="맑은 고딕" w:hAnsi="Arial"/>
          <w:b w:val="0"/>
          <w:bCs w:val="0"/>
          <w:sz w:val="20"/>
          <w:szCs w:val="20"/>
        </w:rPr>
        <w:t>● 2025회계연도 결산서(964쪽), 결산서 첨부서류 수정본(602쪽), 기금결산보고서(80쪽), 2026년 제1회 추경 사업별 설명자료</w:t>
      </w:r>
    </w:p>
    <w:p>
      <w:pPr>
        <w:ind w:left="300" w:hanging="200"/>
        <w:jc w:val="both"/>
        <w:spacing w:after="60" w:before="0" w:line="384" w:lineRule="auto"/>
      </w:pPr>
      <w:r>
        <w:rPr>
          <w:rFonts w:ascii="Arial" w:eastAsia="맑은 고딕" w:hAnsi="Arial"/>
          <w:b w:val="0"/>
          <w:bCs w:val="0"/>
          <w:sz w:val="20"/>
          <w:szCs w:val="20"/>
        </w:rPr>
        <w:t>● 보조 자료: 지방재정365 공식 결산 지표(2016~2024년), 나라장터 계약 공개자료, 대전참여자치시민연대 자체 데이터베이스</w:t>
      </w:r>
    </w:p>
    <w:p>
      <w:r>
        <w:br w:type="page"/>
      </w:r>
    </w:p>
    <w:p>
      <w:pPr>
        <w:jc w:val="left"/>
        <w:spacing w:after="140" w:before="320" w:line="384" w:lineRule="auto"/>
      </w:pPr>
      <w:r>
        <w:rPr>
          <w:rFonts w:ascii="Arial" w:eastAsia="맑은 고딕" w:hAnsi="Arial"/>
          <w:b/>
          <w:bCs/>
          <w:sz w:val="26"/>
          <w:szCs w:val="26"/>
        </w:rPr>
        <w:t>Ⅱ. 2025회계연도 결산 총괄</w:t>
      </w:r>
    </w:p>
    <w:p>
      <w:pPr>
        <w:jc w:val="left"/>
        <w:spacing w:after="100" w:before="240" w:line="384" w:lineRule="auto"/>
      </w:pPr>
      <w:r>
        <w:rPr>
          <w:rFonts w:ascii="Arial" w:eastAsia="맑은 고딕" w:hAnsi="Arial"/>
          <w:b/>
          <w:bCs/>
          <w:sz w:val="22"/>
          <w:szCs w:val="22"/>
        </w:rPr>
        <w:t>1. 세입·세출 개요</w:t>
      </w:r>
    </w:p>
    <w:p>
      <w:pPr>
        <w:ind w:firstLine="200"/>
        <w:jc w:val="both"/>
        <w:spacing w:after="60" w:before="0" w:line="384" w:lineRule="auto"/>
      </w:pPr>
      <w:r>
        <w:rPr>
          <w:rFonts w:ascii="Arial" w:eastAsia="맑은 고딕" w:hAnsi="Arial"/>
          <w:b w:val="0"/>
          <w:bCs w:val="0"/>
          <w:sz w:val="20"/>
          <w:szCs w:val="20"/>
        </w:rPr>
        <w:t>2025회계연도 대전시 세입은 8조 2,707억 원, 세출은 7조 7,132억 원이다. 전년 대비 세입은 8,056억 원(10.8%), 세출은 7,921억 원(11.4%) 늘었다.</w:t>
      </w:r>
    </w:p>
    <w:p>
      <w:pPr>
        <w:jc w:val="center"/>
        <w:spacing w:after="60" w:before="160" w:line="384" w:lineRule="auto"/>
      </w:pPr>
      <w:r>
        <w:rPr>
          <w:rFonts w:ascii="Arial" w:eastAsia="맑은 고딕" w:hAnsi="Arial"/>
          <w:b/>
          <w:bCs/>
          <w:sz w:val="20"/>
          <w:szCs w:val="20"/>
        </w:rPr>
        <w:t>&lt;표 1&gt; 2025회계연도 세입·세출 결산 총괄</w:t>
      </w:r>
    </w:p>
    <w:tbl>
      <w:tblPr>
        <w:tblW w:w="87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03"/>
        <w:gridCol w:w="2028"/>
        <w:gridCol w:w="2028"/>
        <w:gridCol w:w="1577"/>
        <w:gridCol w:w="1352"/>
      </w:tblGrid>
      <w:tr>
        <w:trPr>
          <w:tblHeader/>
        </w:trPr>
        <w:tc>
          <w:tcPr>
            <w:tcW w:w="1803"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center"/>
              <w:spacing w:after="0" w:line="264" w:lineRule="auto"/>
            </w:pPr>
            <w:r>
              <w:rPr>
                <w:rFonts w:ascii="Arial" w:eastAsia="맑은 고딕" w:hAnsi="Arial"/>
                <w:b/>
                <w:bCs/>
                <w:sz w:val="18"/>
                <w:szCs w:val="18"/>
              </w:rPr>
              <w:t>구분</w:t>
            </w:r>
          </w:p>
        </w:tc>
        <w:tc>
          <w:tcPr>
            <w:tcW w:w="2028"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center"/>
              <w:spacing w:after="0" w:line="264" w:lineRule="auto"/>
            </w:pPr>
            <w:r>
              <w:rPr>
                <w:rFonts w:ascii="Arial" w:eastAsia="맑은 고딕" w:hAnsi="Arial"/>
                <w:b/>
                <w:bCs/>
                <w:sz w:val="18"/>
                <w:szCs w:val="18"/>
              </w:rPr>
              <w:t>2025년</w:t>
            </w:r>
          </w:p>
        </w:tc>
        <w:tc>
          <w:tcPr>
            <w:tcW w:w="2028"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center"/>
              <w:spacing w:after="0" w:line="264" w:lineRule="auto"/>
            </w:pPr>
            <w:r>
              <w:rPr>
                <w:rFonts w:ascii="Arial" w:eastAsia="맑은 고딕" w:hAnsi="Arial"/>
                <w:b/>
                <w:bCs/>
                <w:sz w:val="18"/>
                <w:szCs w:val="18"/>
              </w:rPr>
              <w:t>2024년</w:t>
            </w:r>
          </w:p>
        </w:tc>
        <w:tc>
          <w:tcPr>
            <w:tcW w:w="1577"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center"/>
              <w:spacing w:after="0" w:line="264" w:lineRule="auto"/>
            </w:pPr>
            <w:r>
              <w:rPr>
                <w:rFonts w:ascii="Arial" w:eastAsia="맑은 고딕" w:hAnsi="Arial"/>
                <w:b/>
                <w:bCs/>
                <w:sz w:val="18"/>
                <w:szCs w:val="18"/>
              </w:rPr>
              <w:t>증감</w:t>
            </w:r>
          </w:p>
        </w:tc>
        <w:tc>
          <w:tcPr>
            <w:tcW w:w="1352"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center"/>
              <w:spacing w:after="0" w:line="264" w:lineRule="auto"/>
            </w:pPr>
            <w:r>
              <w:rPr>
                <w:rFonts w:ascii="Arial" w:eastAsia="맑은 고딕" w:hAnsi="Arial"/>
                <w:b/>
                <w:bCs/>
                <w:sz w:val="18"/>
                <w:szCs w:val="18"/>
              </w:rPr>
              <w:t>증감률</w:t>
            </w:r>
          </w:p>
        </w:tc>
      </w:tr>
      <w:tr>
        <w:trPr/>
        <w:tc>
          <w:tcPr>
            <w:tcW w:w="1803"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val="0"/>
                <w:bCs w:val="0"/>
                <w:sz w:val="18"/>
                <w:szCs w:val="18"/>
              </w:rPr>
              <w:t>예산현액</w:t>
            </w:r>
          </w:p>
        </w:tc>
        <w:tc>
          <w:tcPr>
            <w:tcW w:w="2028"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val="0"/>
                <w:bCs w:val="0"/>
                <w:sz w:val="18"/>
                <w:szCs w:val="18"/>
              </w:rPr>
              <w:t>8조 2,179억</w:t>
            </w:r>
          </w:p>
        </w:tc>
        <w:tc>
          <w:tcPr>
            <w:tcW w:w="2028"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val="0"/>
                <w:bCs w:val="0"/>
                <w:sz w:val="18"/>
                <w:szCs w:val="18"/>
              </w:rPr>
              <w:t>7조 4,351억</w:t>
            </w:r>
          </w:p>
        </w:tc>
        <w:tc>
          <w:tcPr>
            <w:tcW w:w="1577"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val="0"/>
                <w:bCs w:val="0"/>
                <w:sz w:val="18"/>
                <w:szCs w:val="18"/>
              </w:rPr>
              <w:t>+7,828억</w:t>
            </w:r>
          </w:p>
        </w:tc>
        <w:tc>
          <w:tcPr>
            <w:tcW w:w="1352"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val="0"/>
                <w:bCs w:val="0"/>
                <w:sz w:val="18"/>
                <w:szCs w:val="18"/>
              </w:rPr>
              <w:t>+10.5%</w:t>
            </w:r>
          </w:p>
        </w:tc>
      </w:tr>
      <w:tr>
        <w:trPr/>
        <w:tc>
          <w:tcPr>
            <w:tcW w:w="1803"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val="0"/>
                <w:bCs w:val="0"/>
                <w:sz w:val="18"/>
                <w:szCs w:val="18"/>
              </w:rPr>
              <w:t>세입 결산</w:t>
            </w:r>
          </w:p>
        </w:tc>
        <w:tc>
          <w:tcPr>
            <w:tcW w:w="2028"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val="0"/>
                <w:bCs w:val="0"/>
                <w:sz w:val="18"/>
                <w:szCs w:val="18"/>
              </w:rPr>
              <w:t>8조 2,707억</w:t>
            </w:r>
          </w:p>
        </w:tc>
        <w:tc>
          <w:tcPr>
            <w:tcW w:w="2028"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val="0"/>
                <w:bCs w:val="0"/>
                <w:sz w:val="18"/>
                <w:szCs w:val="18"/>
              </w:rPr>
              <w:t>7조 4,651억</w:t>
            </w:r>
          </w:p>
        </w:tc>
        <w:tc>
          <w:tcPr>
            <w:tcW w:w="1577"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val="0"/>
                <w:bCs w:val="0"/>
                <w:sz w:val="18"/>
                <w:szCs w:val="18"/>
              </w:rPr>
              <w:t>+8,056억</w:t>
            </w:r>
          </w:p>
        </w:tc>
        <w:tc>
          <w:tcPr>
            <w:tcW w:w="1352"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val="0"/>
                <w:bCs w:val="0"/>
                <w:sz w:val="18"/>
                <w:szCs w:val="18"/>
              </w:rPr>
              <w:t>+10.8%</w:t>
            </w:r>
          </w:p>
        </w:tc>
      </w:tr>
      <w:tr>
        <w:trPr/>
        <w:tc>
          <w:tcPr>
            <w:tcW w:w="1803"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val="0"/>
                <w:bCs w:val="0"/>
                <w:sz w:val="18"/>
                <w:szCs w:val="18"/>
              </w:rPr>
              <w:t>세출 결산</w:t>
            </w:r>
          </w:p>
        </w:tc>
        <w:tc>
          <w:tcPr>
            <w:tcW w:w="2028"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val="0"/>
                <w:bCs w:val="0"/>
                <w:sz w:val="18"/>
                <w:szCs w:val="18"/>
              </w:rPr>
              <w:t>7조 7,132억</w:t>
            </w:r>
          </w:p>
        </w:tc>
        <w:tc>
          <w:tcPr>
            <w:tcW w:w="2028"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val="0"/>
                <w:bCs w:val="0"/>
                <w:sz w:val="18"/>
                <w:szCs w:val="18"/>
              </w:rPr>
              <w:t>6조 9,211억</w:t>
            </w:r>
          </w:p>
        </w:tc>
        <w:tc>
          <w:tcPr>
            <w:tcW w:w="1577"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val="0"/>
                <w:bCs w:val="0"/>
                <w:sz w:val="18"/>
                <w:szCs w:val="18"/>
              </w:rPr>
              <w:t>+7,921억</w:t>
            </w:r>
          </w:p>
        </w:tc>
        <w:tc>
          <w:tcPr>
            <w:tcW w:w="1352"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val="0"/>
                <w:bCs w:val="0"/>
                <w:sz w:val="18"/>
                <w:szCs w:val="18"/>
              </w:rPr>
              <w:t>+11.4%</w:t>
            </w:r>
          </w:p>
        </w:tc>
      </w:tr>
      <w:tr>
        <w:trPr/>
        <w:tc>
          <w:tcPr>
            <w:tcW w:w="1803"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val="0"/>
                <w:bCs w:val="0"/>
                <w:sz w:val="18"/>
                <w:szCs w:val="18"/>
              </w:rPr>
              <w:t>다음연도 이월액</w:t>
            </w:r>
          </w:p>
        </w:tc>
        <w:tc>
          <w:tcPr>
            <w:tcW w:w="2028"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val="0"/>
                <w:bCs w:val="0"/>
                <w:sz w:val="18"/>
                <w:szCs w:val="18"/>
              </w:rPr>
              <w:t>3,679억</w:t>
            </w:r>
          </w:p>
        </w:tc>
        <w:tc>
          <w:tcPr>
            <w:tcW w:w="2028"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val="0"/>
                <w:bCs w:val="0"/>
                <w:sz w:val="18"/>
                <w:szCs w:val="18"/>
              </w:rPr>
              <w:t>3,604억</w:t>
            </w:r>
          </w:p>
        </w:tc>
        <w:tc>
          <w:tcPr>
            <w:tcW w:w="1577"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val="0"/>
                <w:bCs w:val="0"/>
                <w:sz w:val="18"/>
                <w:szCs w:val="18"/>
              </w:rPr>
              <w:t>+75억</w:t>
            </w:r>
          </w:p>
        </w:tc>
        <w:tc>
          <w:tcPr>
            <w:tcW w:w="1352"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val="0"/>
                <w:bCs w:val="0"/>
                <w:sz w:val="18"/>
                <w:szCs w:val="18"/>
              </w:rPr>
              <w:t>+2.1%</w:t>
            </w:r>
          </w:p>
        </w:tc>
      </w:tr>
      <w:tr>
        <w:trPr/>
        <w:tc>
          <w:tcPr>
            <w:tcW w:w="1803"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val="0"/>
                <w:bCs w:val="0"/>
                <w:sz w:val="18"/>
                <w:szCs w:val="18"/>
              </w:rPr>
              <w:t>집행잔액(불용)</w:t>
            </w:r>
          </w:p>
        </w:tc>
        <w:tc>
          <w:tcPr>
            <w:tcW w:w="2028"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val="0"/>
                <w:bCs w:val="0"/>
                <w:sz w:val="18"/>
                <w:szCs w:val="18"/>
              </w:rPr>
              <w:t>1,368억</w:t>
            </w:r>
          </w:p>
        </w:tc>
        <w:tc>
          <w:tcPr>
            <w:tcW w:w="2028"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val="0"/>
                <w:bCs w:val="0"/>
                <w:sz w:val="18"/>
                <w:szCs w:val="18"/>
              </w:rPr>
              <w:t>1,536억</w:t>
            </w:r>
          </w:p>
        </w:tc>
        <w:tc>
          <w:tcPr>
            <w:tcW w:w="1577"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val="0"/>
                <w:bCs w:val="0"/>
                <w:sz w:val="18"/>
                <w:szCs w:val="18"/>
              </w:rPr>
              <w:t>△169억</w:t>
            </w:r>
          </w:p>
        </w:tc>
        <w:tc>
          <w:tcPr>
            <w:tcW w:w="1352"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val="0"/>
                <w:bCs w:val="0"/>
                <w:sz w:val="18"/>
                <w:szCs w:val="18"/>
              </w:rPr>
              <w:t>△11.0%</w:t>
            </w:r>
          </w:p>
        </w:tc>
      </w:tr>
      <w:tr>
        <w:trPr/>
        <w:tc>
          <w:tcPr>
            <w:tcW w:w="1803"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val="0"/>
                <w:bCs w:val="0"/>
                <w:sz w:val="18"/>
                <w:szCs w:val="18"/>
              </w:rPr>
              <w:t>결산상 잉여금</w:t>
            </w:r>
          </w:p>
        </w:tc>
        <w:tc>
          <w:tcPr>
            <w:tcW w:w="2028"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val="0"/>
                <w:bCs w:val="0"/>
                <w:sz w:val="18"/>
                <w:szCs w:val="18"/>
              </w:rPr>
              <w:t>5,575억</w:t>
            </w:r>
          </w:p>
        </w:tc>
        <w:tc>
          <w:tcPr>
            <w:tcW w:w="2028"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val="0"/>
                <w:bCs w:val="0"/>
                <w:sz w:val="18"/>
                <w:szCs w:val="18"/>
              </w:rPr>
              <w:t>5,440억</w:t>
            </w:r>
          </w:p>
        </w:tc>
        <w:tc>
          <w:tcPr>
            <w:tcW w:w="1577"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val="0"/>
                <w:bCs w:val="0"/>
                <w:sz w:val="18"/>
                <w:szCs w:val="18"/>
              </w:rPr>
              <w:t>+135억</w:t>
            </w:r>
          </w:p>
        </w:tc>
        <w:tc>
          <w:tcPr>
            <w:tcW w:w="1352"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val="0"/>
                <w:bCs w:val="0"/>
                <w:sz w:val="18"/>
                <w:szCs w:val="18"/>
              </w:rPr>
              <w:t>+2.5%</w:t>
            </w:r>
          </w:p>
        </w:tc>
      </w:tr>
      <w:tr>
        <w:trPr/>
        <w:tc>
          <w:tcPr>
            <w:tcW w:w="1803"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val="0"/>
                <w:bCs w:val="0"/>
                <w:sz w:val="18"/>
                <w:szCs w:val="18"/>
              </w:rPr>
              <w:t>순세계잉여금</w:t>
            </w:r>
          </w:p>
        </w:tc>
        <w:tc>
          <w:tcPr>
            <w:tcW w:w="2028"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val="0"/>
                <w:bCs w:val="0"/>
                <w:sz w:val="18"/>
                <w:szCs w:val="18"/>
              </w:rPr>
              <w:t>2,047억</w:t>
            </w:r>
          </w:p>
        </w:tc>
        <w:tc>
          <w:tcPr>
            <w:tcW w:w="2028"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val="0"/>
                <w:bCs w:val="0"/>
                <w:sz w:val="18"/>
                <w:szCs w:val="18"/>
              </w:rPr>
              <w:t>1,828억</w:t>
            </w:r>
          </w:p>
        </w:tc>
        <w:tc>
          <w:tcPr>
            <w:tcW w:w="1577"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val="0"/>
                <w:bCs w:val="0"/>
                <w:sz w:val="18"/>
                <w:szCs w:val="18"/>
              </w:rPr>
              <w:t>+219억</w:t>
            </w:r>
          </w:p>
        </w:tc>
        <w:tc>
          <w:tcPr>
            <w:tcW w:w="1352"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val="0"/>
                <w:bCs w:val="0"/>
                <w:sz w:val="18"/>
                <w:szCs w:val="18"/>
              </w:rPr>
              <w:t>+12.0%</w:t>
            </w:r>
          </w:p>
        </w:tc>
      </w:tr>
    </w:tbl>
    <w:p>
      <w:pPr>
        <w:spacing w:after="0"/>
      </w:pPr>
    </w:p>
    <w:p>
      <w:pPr>
        <w:jc w:val="left"/>
        <w:spacing w:after="120" w:before="0" w:line="384" w:lineRule="auto"/>
      </w:pPr>
      <w:r>
        <w:rPr>
          <w:rFonts w:ascii="Arial" w:eastAsia="맑은 고딕" w:hAnsi="Arial"/>
          <w:b w:val="0"/>
          <w:bCs w:val="0"/>
          <w:sz w:val="16"/>
          <w:szCs w:val="16"/>
        </w:rPr>
        <w:t>출처: 2025회계연도 결산서 첨부서류 (2)-3 세출결산 및 (2) 전년대비 세입·세출결산 현황</w:t>
      </w:r>
    </w:p>
    <w:p>
      <w:pPr>
        <w:jc w:val="left"/>
        <w:spacing w:after="120" w:before="0" w:line="384" w:lineRule="auto"/>
      </w:pPr>
      <w:r>
        <w:rPr>
          <w:rFonts w:ascii="Arial" w:eastAsia="맑은 고딕" w:hAnsi="Arial"/>
          <w:b w:val="0"/>
          <w:bCs w:val="0"/>
          <w:sz w:val="16"/>
          <w:szCs w:val="16"/>
        </w:rPr>
        <w:t>주: 다음연도 이월액 3,679억 원은 (2)-3 세출결산 기준이다. 결산서 총괄표(2-1)에는 자금없는 이월 249.43억 원을 뺀 3,429.86억 원이 적혀 있어, 같은 결산서에서 두 값이 함께 쓰인다.</w:t>
      </w:r>
    </w:p>
    <w:p>
      <w:pPr>
        <w:ind w:firstLine="200"/>
        <w:jc w:val="both"/>
        <w:spacing w:after="60" w:before="0" w:line="384" w:lineRule="auto"/>
      </w:pPr>
      <w:r>
        <w:rPr>
          <w:rFonts w:ascii="Arial" w:eastAsia="맑은 고딕" w:hAnsi="Arial"/>
          <w:b w:val="0"/>
          <w:bCs w:val="0"/>
          <w:sz w:val="20"/>
          <w:szCs w:val="20"/>
        </w:rPr>
        <w:t xml:space="preserve">순세계잉여금 2,047억 원은 초과세입 528억 원과 집행잔액 1,519억 원으로 이루어져 있다. 이 가운데 일반회계 몫 1,442억 원의 사용계획은 채무상환 800억 원, </w:t>
      </w:r>
      <w:r>
        <w:rPr>
          <w:rFonts w:ascii="Arial" w:eastAsia="맑은 고딕" w:hAnsi="Arial"/>
          <w:b/>
          <w:bCs/>
          <w:sz w:val="20"/>
          <w:szCs w:val="20"/>
        </w:rPr>
        <w:t>기금 적립 0원</w:t>
      </w:r>
      <w:r>
        <w:rPr>
          <w:rFonts w:ascii="Arial" w:eastAsia="맑은 고딕" w:hAnsi="Arial"/>
          <w:b w:val="0"/>
          <w:bCs w:val="0"/>
          <w:sz w:val="20"/>
          <w:szCs w:val="20"/>
        </w:rPr>
        <w:t>, 사업재원 642억 원이다. 남은 돈을 기금으로 쌓지 않고 전액 상환과 사업에 쓰는 구조다.</w:t>
      </w:r>
    </w:p>
    <w:p>
      <w:pPr>
        <w:jc w:val="left"/>
        <w:spacing w:after="100" w:before="240" w:line="384" w:lineRule="auto"/>
      </w:pPr>
      <w:r>
        <w:rPr>
          <w:rFonts w:ascii="Arial" w:eastAsia="맑은 고딕" w:hAnsi="Arial"/>
          <w:b/>
          <w:bCs/>
          <w:sz w:val="22"/>
          <w:szCs w:val="22"/>
        </w:rPr>
        <w:t>2. 세입은 무엇이 늘렸나 — 구성별 증감</w:t>
      </w:r>
    </w:p>
    <w:p>
      <w:pPr>
        <w:ind w:firstLine="200"/>
        <w:jc w:val="both"/>
        <w:spacing w:after="60" w:before="0" w:line="384" w:lineRule="auto"/>
      </w:pPr>
      <w:r>
        <w:rPr>
          <w:rFonts w:ascii="Arial" w:eastAsia="맑은 고딕" w:hAnsi="Arial"/>
          <w:b w:val="0"/>
          <w:bCs w:val="0"/>
          <w:sz w:val="20"/>
          <w:szCs w:val="20"/>
        </w:rPr>
        <w:t xml:space="preserve">세입이 8,056억 원 늘었다는 사실만으로는 재정이 좋아졌는지 알 수 없다. </w:t>
      </w:r>
      <w:r>
        <w:rPr>
          <w:rFonts w:ascii="Arial" w:eastAsia="맑은 고딕" w:hAnsi="Arial"/>
          <w:b/>
          <w:bCs/>
          <w:sz w:val="20"/>
          <w:szCs w:val="20"/>
        </w:rPr>
        <w:t>누가 준 돈이 늘었는지</w:t>
      </w:r>
      <w:r>
        <w:rPr>
          <w:rFonts w:ascii="Arial" w:eastAsia="맑은 고딕" w:hAnsi="Arial"/>
          <w:b w:val="0"/>
          <w:bCs w:val="0"/>
          <w:sz w:val="20"/>
          <w:szCs w:val="20"/>
        </w:rPr>
        <w:t>를 봐야 한다.</w:t>
      </w:r>
    </w:p>
    <w:p>
      <w:pPr>
        <w:jc w:val="center"/>
        <w:spacing w:after="60" w:before="160" w:line="384" w:lineRule="auto"/>
      </w:pPr>
      <w:r>
        <w:rPr>
          <w:rFonts w:ascii="Arial" w:eastAsia="맑은 고딕" w:hAnsi="Arial"/>
          <w:b/>
          <w:bCs/>
          <w:sz w:val="20"/>
          <w:szCs w:val="20"/>
        </w:rPr>
        <w:t>&lt;표 2&gt; 세입 과목별 증감 (단위: 억원)</w:t>
      </w:r>
    </w:p>
    <w:tbl>
      <w:tblPr>
        <w:tblW w:w="87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36"/>
        <w:gridCol w:w="1192"/>
        <w:gridCol w:w="1192"/>
        <w:gridCol w:w="1192"/>
        <w:gridCol w:w="894"/>
        <w:gridCol w:w="1192"/>
        <w:gridCol w:w="1190"/>
      </w:tblGrid>
      <w:tr>
        <w:trPr>
          <w:tblHeader/>
        </w:trPr>
        <w:tc>
          <w:tcPr>
            <w:tcW w:w="1936"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center"/>
              <w:spacing w:after="0" w:line="264" w:lineRule="auto"/>
            </w:pPr>
            <w:r>
              <w:rPr>
                <w:rFonts w:ascii="Arial" w:eastAsia="맑은 고딕" w:hAnsi="Arial"/>
                <w:b/>
                <w:bCs/>
                <w:sz w:val="18"/>
                <w:szCs w:val="18"/>
              </w:rPr>
              <w:t>과목</w:t>
            </w:r>
          </w:p>
        </w:tc>
        <w:tc>
          <w:tcPr>
            <w:tcW w:w="1192"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center"/>
              <w:spacing w:after="0" w:line="264" w:lineRule="auto"/>
            </w:pPr>
            <w:r>
              <w:rPr>
                <w:rFonts w:ascii="Arial" w:eastAsia="맑은 고딕" w:hAnsi="Arial"/>
                <w:b/>
                <w:bCs/>
                <w:sz w:val="18"/>
                <w:szCs w:val="18"/>
              </w:rPr>
              <w:t>2025 결산</w:t>
            </w:r>
          </w:p>
        </w:tc>
        <w:tc>
          <w:tcPr>
            <w:tcW w:w="1192"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center"/>
              <w:spacing w:after="0" w:line="264" w:lineRule="auto"/>
            </w:pPr>
            <w:r>
              <w:rPr>
                <w:rFonts w:ascii="Arial" w:eastAsia="맑은 고딕" w:hAnsi="Arial"/>
                <w:b/>
                <w:bCs/>
                <w:sz w:val="18"/>
                <w:szCs w:val="18"/>
              </w:rPr>
              <w:t>2024 결산</w:t>
            </w:r>
          </w:p>
        </w:tc>
        <w:tc>
          <w:tcPr>
            <w:tcW w:w="1192"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center"/>
              <w:spacing w:after="0" w:line="264" w:lineRule="auto"/>
            </w:pPr>
            <w:r>
              <w:rPr>
                <w:rFonts w:ascii="Arial" w:eastAsia="맑은 고딕" w:hAnsi="Arial"/>
                <w:b/>
                <w:bCs/>
                <w:sz w:val="18"/>
                <w:szCs w:val="18"/>
              </w:rPr>
              <w:t>증감액</w:t>
            </w:r>
          </w:p>
        </w:tc>
        <w:tc>
          <w:tcPr>
            <w:tcW w:w="894"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center"/>
              <w:spacing w:after="0" w:line="264" w:lineRule="auto"/>
            </w:pPr>
            <w:r>
              <w:rPr>
                <w:rFonts w:ascii="Arial" w:eastAsia="맑은 고딕" w:hAnsi="Arial"/>
                <w:b/>
                <w:bCs/>
                <w:sz w:val="18"/>
                <w:szCs w:val="18"/>
              </w:rPr>
              <w:t>증감률</w:t>
            </w:r>
          </w:p>
        </w:tc>
        <w:tc>
          <w:tcPr>
            <w:tcW w:w="1192"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center"/>
              <w:spacing w:after="0" w:line="264" w:lineRule="auto"/>
            </w:pPr>
            <w:r>
              <w:rPr>
                <w:rFonts w:ascii="Arial" w:eastAsia="맑은 고딕" w:hAnsi="Arial"/>
                <w:b/>
                <w:bCs/>
                <w:sz w:val="18"/>
                <w:szCs w:val="18"/>
              </w:rPr>
              <w:t>2025 구성비</w:t>
            </w:r>
          </w:p>
        </w:tc>
        <w:tc>
          <w:tcPr>
            <w:tcW w:w="119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center"/>
              <w:spacing w:after="0" w:line="264" w:lineRule="auto"/>
            </w:pPr>
            <w:r>
              <w:rPr>
                <w:rFonts w:ascii="Arial" w:eastAsia="맑은 고딕" w:hAnsi="Arial"/>
                <w:b/>
                <w:bCs/>
                <w:sz w:val="18"/>
                <w:szCs w:val="18"/>
              </w:rPr>
              <w:t>2024 구성비</w:t>
            </w:r>
          </w:p>
        </w:tc>
      </w:tr>
      <w:tr>
        <w:trPr/>
        <w:tc>
          <w:tcPr>
            <w:tcW w:w="1936"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bCs/>
                <w:sz w:val="18"/>
                <w:szCs w:val="18"/>
              </w:rPr>
              <w:t>국고보조금 등</w:t>
            </w:r>
          </w:p>
        </w:tc>
        <w:tc>
          <w:tcPr>
            <w:tcW w:w="1192"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val="0"/>
                <w:bCs w:val="0"/>
                <w:sz w:val="18"/>
                <w:szCs w:val="18"/>
              </w:rPr>
              <w:t>30,146.7</w:t>
            </w:r>
          </w:p>
        </w:tc>
        <w:tc>
          <w:tcPr>
            <w:tcW w:w="1192"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val="0"/>
                <w:bCs w:val="0"/>
                <w:sz w:val="18"/>
                <w:szCs w:val="18"/>
              </w:rPr>
              <w:t>22,225.1</w:t>
            </w:r>
          </w:p>
        </w:tc>
        <w:tc>
          <w:tcPr>
            <w:tcW w:w="1192"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bCs/>
                <w:sz w:val="18"/>
                <w:szCs w:val="18"/>
              </w:rPr>
              <w:t>+7,921.6</w:t>
            </w:r>
          </w:p>
        </w:tc>
        <w:tc>
          <w:tcPr>
            <w:tcW w:w="894"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bCs/>
                <w:sz w:val="18"/>
                <w:szCs w:val="18"/>
              </w:rPr>
              <w:t>+35.7%</w:t>
            </w:r>
          </w:p>
        </w:tc>
        <w:tc>
          <w:tcPr>
            <w:tcW w:w="1192"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val="0"/>
                <w:bCs w:val="0"/>
                <w:sz w:val="18"/>
                <w:szCs w:val="18"/>
              </w:rPr>
              <w:t>36.45%</w:t>
            </w:r>
          </w:p>
        </w:tc>
        <w:tc>
          <w:tcPr>
            <w:tcW w:w="119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val="0"/>
                <w:bCs w:val="0"/>
                <w:sz w:val="18"/>
                <w:szCs w:val="18"/>
              </w:rPr>
              <w:t>29.78%</w:t>
            </w:r>
          </w:p>
        </w:tc>
      </w:tr>
      <w:tr>
        <w:trPr/>
        <w:tc>
          <w:tcPr>
            <w:tcW w:w="1936"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val="0"/>
                <w:bCs w:val="0"/>
                <w:sz w:val="18"/>
                <w:szCs w:val="18"/>
              </w:rPr>
              <w:t>지방세</w:t>
            </w:r>
          </w:p>
        </w:tc>
        <w:tc>
          <w:tcPr>
            <w:tcW w:w="1192"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val="0"/>
                <w:bCs w:val="0"/>
                <w:sz w:val="18"/>
                <w:szCs w:val="18"/>
              </w:rPr>
              <w:t>21,735.1</w:t>
            </w:r>
          </w:p>
        </w:tc>
        <w:tc>
          <w:tcPr>
            <w:tcW w:w="1192"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val="0"/>
                <w:bCs w:val="0"/>
                <w:sz w:val="18"/>
                <w:szCs w:val="18"/>
              </w:rPr>
              <w:t>20,323.0</w:t>
            </w:r>
          </w:p>
        </w:tc>
        <w:tc>
          <w:tcPr>
            <w:tcW w:w="1192"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val="0"/>
                <w:bCs w:val="0"/>
                <w:sz w:val="18"/>
                <w:szCs w:val="18"/>
              </w:rPr>
              <w:t>+1,412.1</w:t>
            </w:r>
          </w:p>
        </w:tc>
        <w:tc>
          <w:tcPr>
            <w:tcW w:w="894"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val="0"/>
                <w:bCs w:val="0"/>
                <w:sz w:val="18"/>
                <w:szCs w:val="18"/>
              </w:rPr>
              <w:t>+7.0%</w:t>
            </w:r>
          </w:p>
        </w:tc>
        <w:tc>
          <w:tcPr>
            <w:tcW w:w="1192"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val="0"/>
                <w:bCs w:val="0"/>
                <w:sz w:val="18"/>
                <w:szCs w:val="18"/>
              </w:rPr>
              <w:t>26.28%</w:t>
            </w:r>
          </w:p>
        </w:tc>
        <w:tc>
          <w:tcPr>
            <w:tcW w:w="119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val="0"/>
                <w:bCs w:val="0"/>
                <w:sz w:val="18"/>
                <w:szCs w:val="18"/>
              </w:rPr>
              <w:t>27.23%</w:t>
            </w:r>
          </w:p>
        </w:tc>
      </w:tr>
      <w:tr>
        <w:trPr/>
        <w:tc>
          <w:tcPr>
            <w:tcW w:w="1936"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val="0"/>
                <w:bCs w:val="0"/>
                <w:sz w:val="18"/>
                <w:szCs w:val="18"/>
              </w:rPr>
              <w:t>지방교부세 등</w:t>
            </w:r>
          </w:p>
        </w:tc>
        <w:tc>
          <w:tcPr>
            <w:tcW w:w="1192"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val="0"/>
                <w:bCs w:val="0"/>
                <w:sz w:val="18"/>
                <w:szCs w:val="18"/>
              </w:rPr>
              <w:t>11,020.1</w:t>
            </w:r>
          </w:p>
        </w:tc>
        <w:tc>
          <w:tcPr>
            <w:tcW w:w="1192"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val="0"/>
                <w:bCs w:val="0"/>
                <w:sz w:val="18"/>
                <w:szCs w:val="18"/>
              </w:rPr>
              <w:t>11,192.3</w:t>
            </w:r>
          </w:p>
        </w:tc>
        <w:tc>
          <w:tcPr>
            <w:tcW w:w="1192"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val="0"/>
                <w:bCs w:val="0"/>
                <w:sz w:val="18"/>
                <w:szCs w:val="18"/>
              </w:rPr>
              <w:t>△172.2</w:t>
            </w:r>
          </w:p>
        </w:tc>
        <w:tc>
          <w:tcPr>
            <w:tcW w:w="894"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val="0"/>
                <w:bCs w:val="0"/>
                <w:sz w:val="18"/>
                <w:szCs w:val="18"/>
              </w:rPr>
              <w:t>△1.5%</w:t>
            </w:r>
          </w:p>
        </w:tc>
        <w:tc>
          <w:tcPr>
            <w:tcW w:w="1192"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val="0"/>
                <w:bCs w:val="0"/>
                <w:sz w:val="18"/>
                <w:szCs w:val="18"/>
              </w:rPr>
              <w:t>13.32%</w:t>
            </w:r>
          </w:p>
        </w:tc>
        <w:tc>
          <w:tcPr>
            <w:tcW w:w="119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val="0"/>
                <w:bCs w:val="0"/>
                <w:sz w:val="18"/>
                <w:szCs w:val="18"/>
              </w:rPr>
              <w:t>14.99%</w:t>
            </w:r>
          </w:p>
        </w:tc>
      </w:tr>
      <w:tr>
        <w:trPr/>
        <w:tc>
          <w:tcPr>
            <w:tcW w:w="1936"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val="0"/>
                <w:bCs w:val="0"/>
                <w:sz w:val="18"/>
                <w:szCs w:val="18"/>
              </w:rPr>
              <w:t>보전수입 등 및 내부거래</w:t>
            </w:r>
          </w:p>
        </w:tc>
        <w:tc>
          <w:tcPr>
            <w:tcW w:w="1192"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val="0"/>
                <w:bCs w:val="0"/>
                <w:sz w:val="18"/>
                <w:szCs w:val="18"/>
              </w:rPr>
              <w:t>10,388.2</w:t>
            </w:r>
          </w:p>
        </w:tc>
        <w:tc>
          <w:tcPr>
            <w:tcW w:w="1192"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val="0"/>
                <w:bCs w:val="0"/>
                <w:sz w:val="18"/>
                <w:szCs w:val="18"/>
              </w:rPr>
              <w:t>11,616.3</w:t>
            </w:r>
          </w:p>
        </w:tc>
        <w:tc>
          <w:tcPr>
            <w:tcW w:w="1192"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val="0"/>
                <w:bCs w:val="0"/>
                <w:sz w:val="18"/>
                <w:szCs w:val="18"/>
              </w:rPr>
              <w:t>△1,228.1</w:t>
            </w:r>
          </w:p>
        </w:tc>
        <w:tc>
          <w:tcPr>
            <w:tcW w:w="894"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val="0"/>
                <w:bCs w:val="0"/>
                <w:sz w:val="18"/>
                <w:szCs w:val="18"/>
              </w:rPr>
              <w:t>△10.6%</w:t>
            </w:r>
          </w:p>
        </w:tc>
        <w:tc>
          <w:tcPr>
            <w:tcW w:w="1192"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val="0"/>
                <w:bCs w:val="0"/>
                <w:sz w:val="18"/>
                <w:szCs w:val="18"/>
              </w:rPr>
              <w:t>12.56%</w:t>
            </w:r>
          </w:p>
        </w:tc>
        <w:tc>
          <w:tcPr>
            <w:tcW w:w="119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val="0"/>
                <w:bCs w:val="0"/>
                <w:sz w:val="18"/>
                <w:szCs w:val="18"/>
              </w:rPr>
              <w:t>15.57%</w:t>
            </w:r>
          </w:p>
        </w:tc>
      </w:tr>
      <w:tr>
        <w:trPr/>
        <w:tc>
          <w:tcPr>
            <w:tcW w:w="1936"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val="0"/>
                <w:bCs w:val="0"/>
                <w:sz w:val="18"/>
                <w:szCs w:val="18"/>
              </w:rPr>
              <w:t>세외수입</w:t>
            </w:r>
          </w:p>
        </w:tc>
        <w:tc>
          <w:tcPr>
            <w:tcW w:w="1192"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val="0"/>
                <w:bCs w:val="0"/>
                <w:sz w:val="18"/>
                <w:szCs w:val="18"/>
              </w:rPr>
              <w:t>6,708.0</w:t>
            </w:r>
          </w:p>
        </w:tc>
        <w:tc>
          <w:tcPr>
            <w:tcW w:w="1192"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val="0"/>
                <w:bCs w:val="0"/>
                <w:sz w:val="18"/>
                <w:szCs w:val="18"/>
              </w:rPr>
              <w:t>6,273.3</w:t>
            </w:r>
          </w:p>
        </w:tc>
        <w:tc>
          <w:tcPr>
            <w:tcW w:w="1192"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val="0"/>
                <w:bCs w:val="0"/>
                <w:sz w:val="18"/>
                <w:szCs w:val="18"/>
              </w:rPr>
              <w:t>+434.6</w:t>
            </w:r>
          </w:p>
        </w:tc>
        <w:tc>
          <w:tcPr>
            <w:tcW w:w="894"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val="0"/>
                <w:bCs w:val="0"/>
                <w:sz w:val="18"/>
                <w:szCs w:val="18"/>
              </w:rPr>
              <w:t>+6.9%</w:t>
            </w:r>
          </w:p>
        </w:tc>
        <w:tc>
          <w:tcPr>
            <w:tcW w:w="1192"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val="0"/>
                <w:bCs w:val="0"/>
                <w:sz w:val="18"/>
                <w:szCs w:val="18"/>
              </w:rPr>
              <w:t>8.11%</w:t>
            </w:r>
          </w:p>
        </w:tc>
        <w:tc>
          <w:tcPr>
            <w:tcW w:w="119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val="0"/>
                <w:bCs w:val="0"/>
                <w:sz w:val="18"/>
                <w:szCs w:val="18"/>
              </w:rPr>
              <w:t>8.40%</w:t>
            </w:r>
          </w:p>
        </w:tc>
      </w:tr>
      <w:tr>
        <w:trPr/>
        <w:tc>
          <w:tcPr>
            <w:tcW w:w="1936"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val="0"/>
                <w:bCs w:val="0"/>
                <w:sz w:val="18"/>
                <w:szCs w:val="18"/>
              </w:rPr>
              <w:t>지방채</w:t>
            </w:r>
          </w:p>
        </w:tc>
        <w:tc>
          <w:tcPr>
            <w:tcW w:w="1192"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val="0"/>
                <w:bCs w:val="0"/>
                <w:sz w:val="18"/>
                <w:szCs w:val="18"/>
              </w:rPr>
              <w:t>2,709.0</w:t>
            </w:r>
          </w:p>
        </w:tc>
        <w:tc>
          <w:tcPr>
            <w:tcW w:w="1192"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val="0"/>
                <w:bCs w:val="0"/>
                <w:sz w:val="18"/>
                <w:szCs w:val="18"/>
              </w:rPr>
              <w:t>3,021.0</w:t>
            </w:r>
          </w:p>
        </w:tc>
        <w:tc>
          <w:tcPr>
            <w:tcW w:w="1192"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val="0"/>
                <w:bCs w:val="0"/>
                <w:sz w:val="18"/>
                <w:szCs w:val="18"/>
              </w:rPr>
              <w:t>△312.0</w:t>
            </w:r>
          </w:p>
        </w:tc>
        <w:tc>
          <w:tcPr>
            <w:tcW w:w="894"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val="0"/>
                <w:bCs w:val="0"/>
                <w:sz w:val="18"/>
                <w:szCs w:val="18"/>
              </w:rPr>
              <w:t>△10.3%</w:t>
            </w:r>
          </w:p>
        </w:tc>
        <w:tc>
          <w:tcPr>
            <w:tcW w:w="1192"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val="0"/>
                <w:bCs w:val="0"/>
                <w:sz w:val="18"/>
                <w:szCs w:val="18"/>
              </w:rPr>
              <w:t>3.28%</w:t>
            </w:r>
          </w:p>
        </w:tc>
        <w:tc>
          <w:tcPr>
            <w:tcW w:w="119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val="0"/>
                <w:bCs w:val="0"/>
                <w:sz w:val="18"/>
                <w:szCs w:val="18"/>
              </w:rPr>
              <w:t>4.05%</w:t>
            </w:r>
          </w:p>
        </w:tc>
      </w:tr>
      <w:tr>
        <w:trPr/>
        <w:tc>
          <w:tcPr>
            <w:tcW w:w="1936"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bCs/>
                <w:sz w:val="18"/>
                <w:szCs w:val="18"/>
              </w:rPr>
              <w:t>합계</w:t>
            </w:r>
          </w:p>
        </w:tc>
        <w:tc>
          <w:tcPr>
            <w:tcW w:w="1192"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bCs/>
                <w:sz w:val="18"/>
                <w:szCs w:val="18"/>
              </w:rPr>
              <w:t>82,707.0</w:t>
            </w:r>
          </w:p>
        </w:tc>
        <w:tc>
          <w:tcPr>
            <w:tcW w:w="1192"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bCs/>
                <w:sz w:val="18"/>
                <w:szCs w:val="18"/>
              </w:rPr>
              <w:t>74,651.1</w:t>
            </w:r>
          </w:p>
        </w:tc>
        <w:tc>
          <w:tcPr>
            <w:tcW w:w="1192"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bCs/>
                <w:sz w:val="18"/>
                <w:szCs w:val="18"/>
              </w:rPr>
              <w:t>+8,055.9</w:t>
            </w:r>
          </w:p>
        </w:tc>
        <w:tc>
          <w:tcPr>
            <w:tcW w:w="894"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bCs/>
                <w:sz w:val="18"/>
                <w:szCs w:val="18"/>
              </w:rPr>
              <w:t>+10.8%</w:t>
            </w:r>
          </w:p>
        </w:tc>
        <w:tc>
          <w:tcPr>
            <w:tcW w:w="1192"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val="0"/>
                <w:bCs w:val="0"/>
                <w:sz w:val="18"/>
                <w:szCs w:val="18"/>
              </w:rPr>
              <w:t>100%</w:t>
            </w:r>
          </w:p>
        </w:tc>
        <w:tc>
          <w:tcPr>
            <w:tcW w:w="119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val="0"/>
                <w:bCs w:val="0"/>
                <w:sz w:val="18"/>
                <w:szCs w:val="18"/>
              </w:rPr>
              <w:t>100%</w:t>
            </w:r>
          </w:p>
        </w:tc>
      </w:tr>
    </w:tbl>
    <w:p>
      <w:pPr>
        <w:spacing w:after="0"/>
      </w:pPr>
    </w:p>
    <w:p>
      <w:pPr>
        <w:jc w:val="left"/>
        <w:spacing w:after="120" w:before="0" w:line="384" w:lineRule="auto"/>
      </w:pPr>
      <w:r>
        <w:rPr>
          <w:rFonts w:ascii="Arial" w:eastAsia="맑은 고딕" w:hAnsi="Arial"/>
          <w:b w:val="0"/>
          <w:bCs w:val="0"/>
          <w:sz w:val="16"/>
          <w:szCs w:val="16"/>
        </w:rPr>
        <w:t>출처: 2025회계연도 결산서 첨부서류 (3) 재원별·경제성질별 결산액(인쇄 17쪽), 2024년은 지방재정365 재원별 세입결산(대전본청). 두 해의 총액이 각각 결산서 기재값과 일치함을 확인해 같은 기준임을 검증했다.</w:t>
      </w:r>
    </w:p>
    <w:p>
      <w:pPr>
        <w:jc w:val="left"/>
        <w:spacing w:after="120" w:before="0" w:line="384" w:lineRule="auto"/>
      </w:pPr>
      <w:r>
        <w:rPr>
          <w:rFonts w:ascii="Arial" w:eastAsia="맑은 고딕" w:hAnsi="Arial"/>
          <w:b w:val="0"/>
          <w:bCs w:val="0"/>
          <w:sz w:val="16"/>
          <w:szCs w:val="16"/>
        </w:rPr>
        <w:t>주: 세입 결산의 지방채 2,709억 원은 기금을 제외한 값이다. 지역개발기금 소관인 지역개발채권 717억 원을 더하면 지방채 발행보고서상 발행액 3,426억 원과 일치한다.</w:t>
      </w:r>
    </w:p>
    <w:p>
      <w:pPr>
        <w:ind w:firstLine="200"/>
        <w:jc w:val="both"/>
        <w:spacing w:after="60" w:before="0" w:line="384" w:lineRule="auto"/>
      </w:pPr>
      <w:r>
        <w:rPr>
          <w:rFonts w:ascii="Arial" w:eastAsia="맑은 고딕" w:hAnsi="Arial"/>
          <w:b/>
          <w:bCs/>
          <w:sz w:val="20"/>
          <w:szCs w:val="20"/>
        </w:rPr>
        <w:t>세입 증가 8,056억 원 가운데 7,922억 원(98.3%)이 국고보조금 증가분이다.</w:t>
      </w:r>
      <w:r>
        <w:rPr>
          <w:rFonts w:ascii="Arial" w:eastAsia="맑은 고딕" w:hAnsi="Arial"/>
          <w:b w:val="0"/>
          <w:bCs w:val="0"/>
          <w:sz w:val="20"/>
          <w:szCs w:val="20"/>
        </w:rPr>
        <w:t xml:space="preserve"> 지방세는 1,412억 원, 세외수입은 435억 원 늘었지만, 지방교부세(△172억)·지방채(△312억)·보전수입 등(△1,228억)이 줄어 증가분을 상쇄했다. 결과적으로 </w:t>
      </w:r>
      <w:r>
        <w:rPr>
          <w:rFonts w:ascii="Arial" w:eastAsia="맑은 고딕" w:hAnsi="Arial"/>
          <w:b/>
          <w:bCs/>
          <w:sz w:val="20"/>
          <w:szCs w:val="20"/>
        </w:rPr>
        <w:t>2025년 세입 증가는 사실상 중앙정부에서 온 국고보조금 하나가 만들었고, 대전시가 자체로 조달한 재원의 기여는 23% 수준이다.</w:t>
      </w:r>
    </w:p>
    <w:p>
      <w:pPr>
        <w:ind w:firstLine="200"/>
        <w:jc w:val="both"/>
        <w:spacing w:after="60" w:before="0" w:line="384" w:lineRule="auto"/>
      </w:pPr>
      <w:r>
        <w:rPr>
          <w:rFonts w:ascii="Arial" w:eastAsia="맑은 고딕" w:hAnsi="Arial"/>
          <w:b w:val="0"/>
          <w:bCs w:val="0"/>
          <w:sz w:val="20"/>
          <w:szCs w:val="20"/>
        </w:rPr>
        <w:t>국고보조금은 쓰임이 정해져 있어 시가 재량으로 쓸 수 없는 돈이다. 세입 규모가 커진 것을 곧 살림살이가 나아진 것으로 읽을 수 없는 이유가 여기에 있다.</w:t>
      </w:r>
    </w:p>
    <w:p>
      <w:pPr>
        <w:jc w:val="left"/>
        <w:spacing w:after="100" w:before="240" w:line="384" w:lineRule="auto"/>
      </w:pPr>
      <w:r>
        <w:rPr>
          <w:rFonts w:ascii="Arial" w:eastAsia="맑은 고딕" w:hAnsi="Arial"/>
          <w:b/>
          <w:bCs/>
          <w:sz w:val="22"/>
          <w:szCs w:val="22"/>
        </w:rPr>
        <w:t>3. 스스로 버는 돈은 늘었나 — 자체수입 5년 추이</w:t>
      </w:r>
    </w:p>
    <w:p>
      <w:pPr>
        <w:ind w:firstLine="200"/>
        <w:jc w:val="both"/>
        <w:spacing w:after="60" w:before="0" w:line="384" w:lineRule="auto"/>
      </w:pPr>
      <w:r>
        <w:rPr>
          <w:rFonts w:ascii="Arial" w:eastAsia="맑은 고딕" w:hAnsi="Arial"/>
          <w:b w:val="0"/>
          <w:bCs w:val="0"/>
          <w:sz w:val="20"/>
          <w:szCs w:val="20"/>
        </w:rPr>
        <w:t xml:space="preserve">지방정부 재정에서 중요한 것은 </w:t>
      </w:r>
      <w:r>
        <w:rPr>
          <w:rFonts w:ascii="Arial" w:eastAsia="맑은 고딕" w:hAnsi="Arial"/>
          <w:b/>
          <w:bCs/>
          <w:sz w:val="20"/>
          <w:szCs w:val="20"/>
        </w:rPr>
        <w:t>자체수입</w:t>
      </w:r>
      <w:r>
        <w:rPr>
          <w:rFonts w:ascii="Arial" w:eastAsia="맑은 고딕" w:hAnsi="Arial"/>
          <w:b w:val="0"/>
          <w:bCs w:val="0"/>
          <w:sz w:val="20"/>
          <w:szCs w:val="20"/>
        </w:rPr>
        <w:t>(지방세 + 세외수입)이다. 스스로 거둔 돈이라 용도를 시가 정할 수 있고, 이 비중이 커질수록 중앙정부 의존이 줄어든다.</w:t>
      </w:r>
    </w:p>
    <w:p>
      <w:pPr>
        <w:jc w:val="center"/>
        <w:spacing w:after="60" w:before="160" w:line="384" w:lineRule="auto"/>
      </w:pPr>
      <w:r>
        <w:rPr>
          <w:rFonts w:ascii="Arial" w:eastAsia="맑은 고딕" w:hAnsi="Arial"/>
          <w:b/>
          <w:bCs/>
          <w:sz w:val="20"/>
          <w:szCs w:val="20"/>
        </w:rPr>
        <w:t>&lt;표 3&gt; 대전시 자체수입 5년 추이 (단위: 억원)</w:t>
      </w:r>
    </w:p>
    <w:tbl>
      <w:tblPr>
        <w:tblW w:w="87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0"/>
        <w:gridCol w:w="808"/>
        <w:gridCol w:w="808"/>
        <w:gridCol w:w="1616"/>
        <w:gridCol w:w="1717"/>
        <w:gridCol w:w="707"/>
        <w:gridCol w:w="1717"/>
        <w:gridCol w:w="715"/>
      </w:tblGrid>
      <w:tr>
        <w:trPr>
          <w:tblHeader/>
        </w:trPr>
        <w:tc>
          <w:tcPr>
            <w:tcW w:w="7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center"/>
              <w:spacing w:after="0" w:line="264" w:lineRule="auto"/>
            </w:pPr>
            <w:r>
              <w:rPr>
                <w:rFonts w:ascii="Arial" w:eastAsia="맑은 고딕" w:hAnsi="Arial"/>
                <w:b/>
                <w:bCs/>
                <w:sz w:val="18"/>
                <w:szCs w:val="18"/>
              </w:rPr>
              <w:t>연도</w:t>
            </w:r>
          </w:p>
        </w:tc>
        <w:tc>
          <w:tcPr>
            <w:tcW w:w="808"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center"/>
              <w:spacing w:after="0" w:line="264" w:lineRule="auto"/>
            </w:pPr>
            <w:r>
              <w:rPr>
                <w:rFonts w:ascii="Arial" w:eastAsia="맑은 고딕" w:hAnsi="Arial"/>
                <w:b/>
                <w:bCs/>
                <w:sz w:val="18"/>
                <w:szCs w:val="18"/>
              </w:rPr>
              <w:t>지방세</w:t>
            </w:r>
          </w:p>
        </w:tc>
        <w:tc>
          <w:tcPr>
            <w:tcW w:w="808"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center"/>
              <w:spacing w:after="0" w:line="264" w:lineRule="auto"/>
            </w:pPr>
            <w:r>
              <w:rPr>
                <w:rFonts w:ascii="Arial" w:eastAsia="맑은 고딕" w:hAnsi="Arial"/>
                <w:b/>
                <w:bCs/>
                <w:sz w:val="18"/>
                <w:szCs w:val="18"/>
              </w:rPr>
              <w:t>세외수입</w:t>
            </w:r>
          </w:p>
        </w:tc>
        <w:tc>
          <w:tcPr>
            <w:tcW w:w="1616"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center"/>
              <w:spacing w:after="0" w:line="264" w:lineRule="auto"/>
            </w:pPr>
            <w:r>
              <w:rPr>
                <w:rFonts w:ascii="Arial" w:eastAsia="맑은 고딕" w:hAnsi="Arial"/>
                <w:b/>
                <w:bCs/>
                <w:sz w:val="18"/>
                <w:szCs w:val="18"/>
              </w:rPr>
              <w:t>자체수입</w:t>
            </w:r>
          </w:p>
        </w:tc>
        <w:tc>
          <w:tcPr>
            <w:tcW w:w="1717"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center"/>
              <w:spacing w:after="0" w:line="264" w:lineRule="auto"/>
            </w:pPr>
            <w:r>
              <w:rPr>
                <w:rFonts w:ascii="Arial" w:eastAsia="맑은 고딕" w:hAnsi="Arial"/>
                <w:b/>
                <w:bCs/>
                <w:sz w:val="18"/>
                <w:szCs w:val="18"/>
              </w:rPr>
              <w:t>세입 총액</w:t>
            </w:r>
          </w:p>
        </w:tc>
        <w:tc>
          <w:tcPr>
            <w:tcW w:w="707"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center"/>
              <w:spacing w:after="0" w:line="264" w:lineRule="auto"/>
            </w:pPr>
            <w:r>
              <w:rPr>
                <w:rFonts w:ascii="Arial" w:eastAsia="맑은 고딕" w:hAnsi="Arial"/>
                <w:b/>
                <w:bCs/>
                <w:sz w:val="18"/>
                <w:szCs w:val="18"/>
              </w:rPr>
              <w:t>자체수입 비율</w:t>
            </w:r>
          </w:p>
        </w:tc>
        <w:tc>
          <w:tcPr>
            <w:tcW w:w="1717"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center"/>
              <w:spacing w:after="0" w:line="264" w:lineRule="auto"/>
            </w:pPr>
            <w:r>
              <w:rPr>
                <w:rFonts w:ascii="Arial" w:eastAsia="맑은 고딕" w:hAnsi="Arial"/>
                <w:b/>
                <w:bCs/>
                <w:sz w:val="18"/>
                <w:szCs w:val="18"/>
              </w:rPr>
              <w:t>세출 총액</w:t>
            </w:r>
          </w:p>
        </w:tc>
        <w:tc>
          <w:tcPr>
            <w:tcW w:w="715"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center"/>
              <w:spacing w:after="0" w:line="264" w:lineRule="auto"/>
            </w:pPr>
            <w:r>
              <w:rPr>
                <w:rFonts w:ascii="Arial" w:eastAsia="맑은 고딕" w:hAnsi="Arial"/>
                <w:b/>
                <w:bCs/>
                <w:sz w:val="18"/>
                <w:szCs w:val="18"/>
              </w:rPr>
              <w:t>재정자립도</w:t>
            </w:r>
          </w:p>
        </w:tc>
      </w:tr>
      <w:tr>
        <w:trPr/>
        <w:tc>
          <w:tcPr>
            <w:tcW w:w="7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val="0"/>
                <w:bCs w:val="0"/>
                <w:sz w:val="18"/>
                <w:szCs w:val="18"/>
              </w:rPr>
              <w:t>2021</w:t>
            </w:r>
          </w:p>
        </w:tc>
        <w:tc>
          <w:tcPr>
            <w:tcW w:w="808"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val="0"/>
                <w:bCs w:val="0"/>
                <w:sz w:val="18"/>
                <w:szCs w:val="18"/>
              </w:rPr>
              <w:t>21,144.8</w:t>
            </w:r>
          </w:p>
        </w:tc>
        <w:tc>
          <w:tcPr>
            <w:tcW w:w="808"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val="0"/>
                <w:bCs w:val="0"/>
                <w:sz w:val="18"/>
                <w:szCs w:val="18"/>
              </w:rPr>
              <w:t>5,428.9</w:t>
            </w:r>
          </w:p>
        </w:tc>
        <w:tc>
          <w:tcPr>
            <w:tcW w:w="1616"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val="0"/>
                <w:bCs w:val="0"/>
                <w:sz w:val="18"/>
                <w:szCs w:val="18"/>
              </w:rPr>
              <w:t>26,573.7</w:t>
            </w:r>
          </w:p>
        </w:tc>
        <w:tc>
          <w:tcPr>
            <w:tcW w:w="1717"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val="0"/>
                <w:bCs w:val="0"/>
                <w:sz w:val="18"/>
                <w:szCs w:val="18"/>
              </w:rPr>
              <w:t>73,128.1</w:t>
            </w:r>
          </w:p>
        </w:tc>
        <w:tc>
          <w:tcPr>
            <w:tcW w:w="707"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bCs/>
                <w:sz w:val="18"/>
                <w:szCs w:val="18"/>
              </w:rPr>
              <w:t>36.34%</w:t>
            </w:r>
          </w:p>
        </w:tc>
        <w:tc>
          <w:tcPr>
            <w:tcW w:w="1717"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val="0"/>
                <w:bCs w:val="0"/>
                <w:sz w:val="18"/>
                <w:szCs w:val="18"/>
              </w:rPr>
              <w:t>67,163.7</w:t>
            </w:r>
          </w:p>
        </w:tc>
        <w:tc>
          <w:tcPr>
            <w:tcW w:w="715"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val="0"/>
                <w:bCs w:val="0"/>
                <w:sz w:val="18"/>
                <w:szCs w:val="18"/>
              </w:rPr>
              <w:t>37.64%</w:t>
            </w:r>
          </w:p>
        </w:tc>
      </w:tr>
      <w:tr>
        <w:trPr/>
        <w:tc>
          <w:tcPr>
            <w:tcW w:w="7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val="0"/>
                <w:bCs w:val="0"/>
                <w:sz w:val="18"/>
                <w:szCs w:val="18"/>
              </w:rPr>
              <w:t>2022</w:t>
            </w:r>
          </w:p>
        </w:tc>
        <w:tc>
          <w:tcPr>
            <w:tcW w:w="808"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val="0"/>
                <w:bCs w:val="0"/>
                <w:sz w:val="18"/>
                <w:szCs w:val="18"/>
              </w:rPr>
              <w:t>21,741.0</w:t>
            </w:r>
          </w:p>
        </w:tc>
        <w:tc>
          <w:tcPr>
            <w:tcW w:w="808"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val="0"/>
                <w:bCs w:val="0"/>
                <w:sz w:val="18"/>
                <w:szCs w:val="18"/>
              </w:rPr>
              <w:t>5,924.2</w:t>
            </w:r>
          </w:p>
        </w:tc>
        <w:tc>
          <w:tcPr>
            <w:tcW w:w="1616"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val="0"/>
                <w:bCs w:val="0"/>
                <w:sz w:val="18"/>
                <w:szCs w:val="18"/>
              </w:rPr>
              <w:t>27,665.2</w:t>
            </w:r>
          </w:p>
        </w:tc>
        <w:tc>
          <w:tcPr>
            <w:tcW w:w="1717"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val="0"/>
                <w:bCs w:val="0"/>
                <w:sz w:val="18"/>
                <w:szCs w:val="18"/>
              </w:rPr>
              <w:t>75,724.4</w:t>
            </w:r>
          </w:p>
        </w:tc>
        <w:tc>
          <w:tcPr>
            <w:tcW w:w="707"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bCs/>
                <w:sz w:val="18"/>
                <w:szCs w:val="18"/>
              </w:rPr>
              <w:t>36.53%</w:t>
            </w:r>
          </w:p>
        </w:tc>
        <w:tc>
          <w:tcPr>
            <w:tcW w:w="1717"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val="0"/>
                <w:bCs w:val="0"/>
                <w:sz w:val="18"/>
                <w:szCs w:val="18"/>
              </w:rPr>
              <w:t>69,305.6</w:t>
            </w:r>
          </w:p>
        </w:tc>
        <w:tc>
          <w:tcPr>
            <w:tcW w:w="715"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val="0"/>
                <w:bCs w:val="0"/>
                <w:sz w:val="18"/>
                <w:szCs w:val="18"/>
              </w:rPr>
              <w:t>37.93%</w:t>
            </w:r>
          </w:p>
        </w:tc>
      </w:tr>
      <w:tr>
        <w:trPr/>
        <w:tc>
          <w:tcPr>
            <w:tcW w:w="7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val="0"/>
                <w:bCs w:val="0"/>
                <w:sz w:val="18"/>
                <w:szCs w:val="18"/>
              </w:rPr>
              <w:t>2023</w:t>
            </w:r>
          </w:p>
        </w:tc>
        <w:tc>
          <w:tcPr>
            <w:tcW w:w="808"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val="0"/>
                <w:bCs w:val="0"/>
                <w:sz w:val="18"/>
                <w:szCs w:val="18"/>
              </w:rPr>
              <w:t>20,121.1</w:t>
            </w:r>
          </w:p>
        </w:tc>
        <w:tc>
          <w:tcPr>
            <w:tcW w:w="808"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val="0"/>
                <w:bCs w:val="0"/>
                <w:sz w:val="18"/>
                <w:szCs w:val="18"/>
              </w:rPr>
              <w:t>5,792.8</w:t>
            </w:r>
          </w:p>
        </w:tc>
        <w:tc>
          <w:tcPr>
            <w:tcW w:w="1616"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val="0"/>
                <w:bCs w:val="0"/>
                <w:sz w:val="18"/>
                <w:szCs w:val="18"/>
              </w:rPr>
              <w:t>25,913.9</w:t>
            </w:r>
          </w:p>
        </w:tc>
        <w:tc>
          <w:tcPr>
            <w:tcW w:w="1717"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val="0"/>
                <w:bCs w:val="0"/>
                <w:sz w:val="18"/>
                <w:szCs w:val="18"/>
              </w:rPr>
              <w:t>71,561.3</w:t>
            </w:r>
          </w:p>
        </w:tc>
        <w:tc>
          <w:tcPr>
            <w:tcW w:w="707"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bCs/>
                <w:sz w:val="18"/>
                <w:szCs w:val="18"/>
              </w:rPr>
              <w:t>36.21%</w:t>
            </w:r>
          </w:p>
        </w:tc>
        <w:tc>
          <w:tcPr>
            <w:tcW w:w="1717"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val="0"/>
                <w:bCs w:val="0"/>
                <w:sz w:val="18"/>
                <w:szCs w:val="18"/>
              </w:rPr>
              <w:t>65,122.5</w:t>
            </w:r>
          </w:p>
        </w:tc>
        <w:tc>
          <w:tcPr>
            <w:tcW w:w="715"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val="0"/>
                <w:bCs w:val="0"/>
                <w:sz w:val="18"/>
                <w:szCs w:val="18"/>
              </w:rPr>
              <w:t>38.38%</w:t>
            </w:r>
          </w:p>
        </w:tc>
      </w:tr>
      <w:tr>
        <w:trPr/>
        <w:tc>
          <w:tcPr>
            <w:tcW w:w="7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val="0"/>
                <w:bCs w:val="0"/>
                <w:sz w:val="18"/>
                <w:szCs w:val="18"/>
              </w:rPr>
              <w:t>2024</w:t>
            </w:r>
          </w:p>
        </w:tc>
        <w:tc>
          <w:tcPr>
            <w:tcW w:w="808"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val="0"/>
                <w:bCs w:val="0"/>
                <w:sz w:val="18"/>
                <w:szCs w:val="18"/>
              </w:rPr>
              <w:t>20,323.0</w:t>
            </w:r>
          </w:p>
        </w:tc>
        <w:tc>
          <w:tcPr>
            <w:tcW w:w="808"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val="0"/>
                <w:bCs w:val="0"/>
                <w:sz w:val="18"/>
                <w:szCs w:val="18"/>
              </w:rPr>
              <w:t>6,273.3</w:t>
            </w:r>
          </w:p>
        </w:tc>
        <w:tc>
          <w:tcPr>
            <w:tcW w:w="1616"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val="0"/>
                <w:bCs w:val="0"/>
                <w:sz w:val="18"/>
                <w:szCs w:val="18"/>
              </w:rPr>
              <w:t>26,596.3</w:t>
            </w:r>
          </w:p>
        </w:tc>
        <w:tc>
          <w:tcPr>
            <w:tcW w:w="1717"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val="0"/>
                <w:bCs w:val="0"/>
                <w:sz w:val="18"/>
                <w:szCs w:val="18"/>
              </w:rPr>
              <w:t>74,651.1</w:t>
            </w:r>
          </w:p>
        </w:tc>
        <w:tc>
          <w:tcPr>
            <w:tcW w:w="707"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bCs/>
                <w:sz w:val="18"/>
                <w:szCs w:val="18"/>
              </w:rPr>
              <w:t>35.63%</w:t>
            </w:r>
          </w:p>
        </w:tc>
        <w:tc>
          <w:tcPr>
            <w:tcW w:w="1717"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val="0"/>
                <w:bCs w:val="0"/>
                <w:sz w:val="18"/>
                <w:szCs w:val="18"/>
              </w:rPr>
              <w:t>69,211.0</w:t>
            </w:r>
          </w:p>
        </w:tc>
        <w:tc>
          <w:tcPr>
            <w:tcW w:w="715"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val="0"/>
                <w:bCs w:val="0"/>
                <w:sz w:val="18"/>
                <w:szCs w:val="18"/>
              </w:rPr>
              <w:t>37.32%</w:t>
            </w:r>
          </w:p>
        </w:tc>
      </w:tr>
      <w:tr>
        <w:trPr/>
        <w:tc>
          <w:tcPr>
            <w:tcW w:w="7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val="0"/>
                <w:bCs w:val="0"/>
                <w:sz w:val="18"/>
                <w:szCs w:val="18"/>
              </w:rPr>
              <w:t>2025</w:t>
            </w:r>
          </w:p>
        </w:tc>
        <w:tc>
          <w:tcPr>
            <w:tcW w:w="808"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val="0"/>
                <w:bCs w:val="0"/>
                <w:sz w:val="18"/>
                <w:szCs w:val="18"/>
              </w:rPr>
              <w:t>21,735.1</w:t>
            </w:r>
          </w:p>
        </w:tc>
        <w:tc>
          <w:tcPr>
            <w:tcW w:w="808"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val="0"/>
                <w:bCs w:val="0"/>
                <w:sz w:val="18"/>
                <w:szCs w:val="18"/>
              </w:rPr>
              <w:t>6,708.0</w:t>
            </w:r>
          </w:p>
        </w:tc>
        <w:tc>
          <w:tcPr>
            <w:tcW w:w="1616"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val="0"/>
                <w:bCs w:val="0"/>
                <w:sz w:val="18"/>
                <w:szCs w:val="18"/>
              </w:rPr>
              <w:t>28,443.0</w:t>
            </w:r>
          </w:p>
        </w:tc>
        <w:tc>
          <w:tcPr>
            <w:tcW w:w="1717"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val="0"/>
                <w:bCs w:val="0"/>
                <w:sz w:val="18"/>
                <w:szCs w:val="18"/>
              </w:rPr>
              <w:t>82,707.0</w:t>
            </w:r>
          </w:p>
        </w:tc>
        <w:tc>
          <w:tcPr>
            <w:tcW w:w="707"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bCs/>
                <w:sz w:val="18"/>
                <w:szCs w:val="18"/>
              </w:rPr>
              <w:t>34.39%</w:t>
            </w:r>
          </w:p>
        </w:tc>
        <w:tc>
          <w:tcPr>
            <w:tcW w:w="1717"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val="0"/>
                <w:bCs w:val="0"/>
                <w:sz w:val="18"/>
                <w:szCs w:val="18"/>
              </w:rPr>
              <w:t>77,131.8</w:t>
            </w:r>
          </w:p>
        </w:tc>
        <w:tc>
          <w:tcPr>
            <w:tcW w:w="715"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val="0"/>
                <w:bCs w:val="0"/>
                <w:sz w:val="18"/>
                <w:szCs w:val="18"/>
              </w:rPr>
              <w:t>약 34%[추정]</w:t>
            </w:r>
          </w:p>
        </w:tc>
      </w:tr>
      <w:tr>
        <w:trPr/>
        <w:tc>
          <w:tcPr>
            <w:tcW w:w="7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bCs/>
                <w:sz w:val="18"/>
                <w:szCs w:val="18"/>
              </w:rPr>
              <w:t>5년 증감</w:t>
            </w:r>
          </w:p>
        </w:tc>
        <w:tc>
          <w:tcPr>
            <w:tcW w:w="808"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val="0"/>
                <w:bCs w:val="0"/>
                <w:sz w:val="18"/>
                <w:szCs w:val="18"/>
              </w:rPr>
              <w:t>+590.3</w:t>
            </w:r>
          </w:p>
        </w:tc>
        <w:tc>
          <w:tcPr>
            <w:tcW w:w="808"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val="0"/>
                <w:bCs w:val="0"/>
                <w:sz w:val="18"/>
                <w:szCs w:val="18"/>
              </w:rPr>
              <w:t>+1,279.1</w:t>
            </w:r>
          </w:p>
        </w:tc>
        <w:tc>
          <w:tcPr>
            <w:tcW w:w="1616"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bCs/>
                <w:sz w:val="18"/>
                <w:szCs w:val="18"/>
              </w:rPr>
              <w:t>+1,869.3 (+7.0%)</w:t>
            </w:r>
          </w:p>
        </w:tc>
        <w:tc>
          <w:tcPr>
            <w:tcW w:w="1717"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val="0"/>
                <w:bCs w:val="0"/>
                <w:sz w:val="18"/>
                <w:szCs w:val="18"/>
              </w:rPr>
              <w:t>+9,579.0 (+13.1%)</w:t>
            </w:r>
          </w:p>
        </w:tc>
        <w:tc>
          <w:tcPr>
            <w:tcW w:w="707"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bCs/>
                <w:sz w:val="18"/>
                <w:szCs w:val="18"/>
              </w:rPr>
              <w:t>△1.95%p</w:t>
            </w:r>
          </w:p>
        </w:tc>
        <w:tc>
          <w:tcPr>
            <w:tcW w:w="1717"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val="0"/>
                <w:bCs w:val="0"/>
                <w:sz w:val="18"/>
                <w:szCs w:val="18"/>
              </w:rPr>
              <w:t>+9,968.1 (+14.8%)</w:t>
            </w:r>
          </w:p>
        </w:tc>
        <w:tc>
          <w:tcPr>
            <w:tcW w:w="715"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val="0"/>
                <w:bCs w:val="0"/>
                <w:sz w:val="18"/>
                <w:szCs w:val="18"/>
              </w:rPr>
              <w:t>–</w:t>
            </w:r>
          </w:p>
        </w:tc>
      </w:tr>
    </w:tbl>
    <w:p>
      <w:pPr>
        <w:spacing w:after="0"/>
      </w:pPr>
    </w:p>
    <w:p>
      <w:pPr>
        <w:jc w:val="left"/>
        <w:spacing w:after="120" w:before="0" w:line="384" w:lineRule="auto"/>
      </w:pPr>
      <w:r>
        <w:rPr>
          <w:rFonts w:ascii="Arial" w:eastAsia="맑은 고딕" w:hAnsi="Arial"/>
          <w:b w:val="0"/>
          <w:bCs w:val="0"/>
          <w:sz w:val="16"/>
          <w:szCs w:val="16"/>
        </w:rPr>
        <w:t xml:space="preserve">출처: 지방세·세외수입·세입 총액은 지방재정365 재원별 세입결산(2021~2024)과 2025회계연도 결산서 첨부서류 (3)(2025년). 세출 총액은 지방재정365 및 결산서. 재정자립도는 지방재정365 재정자립도결산 공시값(신산식). 2025년은 아직 공시되지 않아 추정치다 — 공시 산식의 분자(일반회계 자체수입)는 2025년 확정치 2조 4,455억 원이 확인되나 분모가 특정되지 않아(일반회계 예산현액의 92~97% 사이에서 연도별로 변동) 2024년 관계를 적용한 근사치다. </w:t>
      </w:r>
      <w:r>
        <w:rPr>
          <w:rFonts w:ascii="Arial" w:eastAsia="맑은 고딕" w:hAnsi="Arial"/>
          <w:b/>
          <w:bCs/>
          <w:sz w:val="16"/>
          <w:szCs w:val="16"/>
        </w:rPr>
        <w:t>확정 지표인 자체수입 비율(34.39%)을 먼저 보시기를 권한다.</w:t>
      </w:r>
    </w:p>
    <w:p>
      <w:pPr>
        <w:ind w:firstLine="200"/>
        <w:jc w:val="both"/>
        <w:spacing w:after="60" w:before="0" w:line="384" w:lineRule="auto"/>
      </w:pPr>
      <w:r>
        <w:rPr>
          <w:rFonts w:ascii="Arial" w:eastAsia="맑은 고딕" w:hAnsi="Arial"/>
          <w:b w:val="0"/>
          <w:bCs w:val="0"/>
          <w:sz w:val="20"/>
          <w:szCs w:val="20"/>
        </w:rPr>
        <w:t>읽는 법은 이렇다.</w:t>
      </w:r>
    </w:p>
    <w:p>
      <w:pPr>
        <w:ind w:left="300" w:hanging="200"/>
        <w:jc w:val="both"/>
        <w:spacing w:after="60" w:before="0" w:line="384" w:lineRule="auto"/>
      </w:pPr>
      <w:r>
        <w:rPr>
          <w:rFonts w:ascii="Arial" w:eastAsia="맑은 고딕" w:hAnsi="Arial"/>
          <w:b w:val="0"/>
          <w:bCs w:val="0"/>
          <w:sz w:val="20"/>
          <w:szCs w:val="20"/>
        </w:rPr>
        <w:t xml:space="preserve">● </w:t>
      </w:r>
      <w:r>
        <w:rPr>
          <w:rFonts w:ascii="Arial" w:eastAsia="맑은 고딕" w:hAnsi="Arial"/>
          <w:b/>
          <w:bCs/>
          <w:sz w:val="20"/>
          <w:szCs w:val="20"/>
        </w:rPr>
        <w:t>절대 금액은 늘었다.</w:t>
      </w:r>
      <w:r>
        <w:rPr>
          <w:rFonts w:ascii="Arial" w:eastAsia="맑은 고딕" w:hAnsi="Arial"/>
          <w:b w:val="0"/>
          <w:bCs w:val="0"/>
          <w:sz w:val="20"/>
          <w:szCs w:val="20"/>
        </w:rPr>
        <w:t xml:space="preserve"> 자체수입은 5년 사이 2조 6,574억 원에서 2조 8,443억 원으로 </w:t>
      </w:r>
      <w:r>
        <w:rPr>
          <w:rFonts w:ascii="Arial" w:eastAsia="맑은 고딕" w:hAnsi="Arial"/>
          <w:b/>
          <w:bCs/>
          <w:sz w:val="20"/>
          <w:szCs w:val="20"/>
        </w:rPr>
        <w:t>1,869억 원(7.0%)</w:t>
      </w:r>
      <w:r>
        <w:rPr>
          <w:rFonts w:ascii="Arial" w:eastAsia="맑은 고딕" w:hAnsi="Arial"/>
          <w:b w:val="0"/>
          <w:bCs w:val="0"/>
          <w:sz w:val="20"/>
          <w:szCs w:val="20"/>
        </w:rPr>
        <w:t xml:space="preserve"> 늘었다.</w:t>
      </w:r>
    </w:p>
    <w:p>
      <w:pPr>
        <w:ind w:left="300" w:hanging="200"/>
        <w:jc w:val="both"/>
        <w:spacing w:after="60" w:before="0" w:line="384" w:lineRule="auto"/>
      </w:pPr>
      <w:r>
        <w:rPr>
          <w:rFonts w:ascii="Arial" w:eastAsia="맑은 고딕" w:hAnsi="Arial"/>
          <w:b w:val="0"/>
          <w:bCs w:val="0"/>
          <w:sz w:val="20"/>
          <w:szCs w:val="20"/>
        </w:rPr>
        <w:t xml:space="preserve">● </w:t>
      </w:r>
      <w:r>
        <w:rPr>
          <w:rFonts w:ascii="Arial" w:eastAsia="맑은 고딕" w:hAnsi="Arial"/>
          <w:b/>
          <w:bCs/>
          <w:sz w:val="20"/>
          <w:szCs w:val="20"/>
        </w:rPr>
        <w:t>그러나 비율은 줄었다.</w:t>
      </w:r>
      <w:r>
        <w:rPr>
          <w:rFonts w:ascii="Arial" w:eastAsia="맑은 고딕" w:hAnsi="Arial"/>
          <w:b w:val="0"/>
          <w:bCs w:val="0"/>
          <w:sz w:val="20"/>
          <w:szCs w:val="20"/>
        </w:rPr>
        <w:t xml:space="preserve"> 세입 총액에서 차지하는 비중은 36.34%에서 </w:t>
      </w:r>
      <w:r>
        <w:rPr>
          <w:rFonts w:ascii="Arial" w:eastAsia="맑은 고딕" w:hAnsi="Arial"/>
          <w:b/>
          <w:bCs/>
          <w:sz w:val="20"/>
          <w:szCs w:val="20"/>
        </w:rPr>
        <w:t>34.39%로 1.95%p 떨어졌다.</w:t>
      </w:r>
      <w:r>
        <w:rPr>
          <w:rFonts w:ascii="Arial" w:eastAsia="맑은 고딕" w:hAnsi="Arial"/>
          <w:b w:val="0"/>
          <w:bCs w:val="0"/>
          <w:sz w:val="20"/>
          <w:szCs w:val="20"/>
        </w:rPr>
        <w:t xml:space="preserve"> 세입 총액이 13.1% 늘어 자체수입 증가 속도(7.0%)의 두 배에 가까웠기 때문이다.</w:t>
      </w:r>
    </w:p>
    <w:p>
      <w:pPr>
        <w:ind w:left="300" w:hanging="200"/>
        <w:jc w:val="both"/>
        <w:spacing w:after="60" w:before="0" w:line="384" w:lineRule="auto"/>
      </w:pPr>
      <w:r>
        <w:rPr>
          <w:rFonts w:ascii="Arial" w:eastAsia="맑은 고딕" w:hAnsi="Arial"/>
          <w:b w:val="0"/>
          <w:bCs w:val="0"/>
          <w:sz w:val="20"/>
          <w:szCs w:val="20"/>
        </w:rPr>
        <w:t xml:space="preserve">● </w:t>
      </w:r>
      <w:r>
        <w:rPr>
          <w:rFonts w:ascii="Arial" w:eastAsia="맑은 고딕" w:hAnsi="Arial"/>
          <w:b/>
          <w:bCs/>
          <w:sz w:val="20"/>
          <w:szCs w:val="20"/>
        </w:rPr>
        <w:t>살림 규모가 자체수입보다 두 배 빠르게 커졌다.</w:t>
      </w:r>
      <w:r>
        <w:rPr>
          <w:rFonts w:ascii="Arial" w:eastAsia="맑은 고딕" w:hAnsi="Arial"/>
          <w:b w:val="0"/>
          <w:bCs w:val="0"/>
          <w:sz w:val="20"/>
          <w:szCs w:val="20"/>
        </w:rPr>
        <w:t xml:space="preserve"> 세출은 5년간 14.8% 늘었다. 자체수입 증가(7.0%)의 두 배가 넘는다.</w:t>
      </w:r>
    </w:p>
    <w:p>
      <w:pPr>
        <w:ind w:left="300" w:hanging="200"/>
        <w:jc w:val="both"/>
        <w:spacing w:after="60" w:before="0" w:line="384" w:lineRule="auto"/>
      </w:pPr>
      <w:r>
        <w:rPr>
          <w:rFonts w:ascii="Arial" w:eastAsia="맑은 고딕" w:hAnsi="Arial"/>
          <w:b w:val="0"/>
          <w:bCs w:val="0"/>
          <w:sz w:val="20"/>
          <w:szCs w:val="20"/>
        </w:rPr>
        <w:t xml:space="preserve">● 지방세는 2022년 2조 1,741억 원에서 2023년 2조 121억 원으로 한 번 꺾였고(부동산 경기 침체), 2025년 2조 1,735억 원으로 </w:t>
      </w:r>
      <w:r>
        <w:rPr>
          <w:rFonts w:ascii="Arial" w:eastAsia="맑은 고딕" w:hAnsi="Arial"/>
          <w:b/>
          <w:bCs/>
          <w:sz w:val="20"/>
          <w:szCs w:val="20"/>
        </w:rPr>
        <w:t>2022년 수준에 근접했으나 아직 5.9억 원(0.03%) 못 미친다.</w:t>
      </w:r>
      <w:r>
        <w:rPr>
          <w:rFonts w:ascii="Arial" w:eastAsia="맑은 고딕" w:hAnsi="Arial"/>
          <w:b w:val="0"/>
          <w:bCs w:val="0"/>
          <w:sz w:val="20"/>
          <w:szCs w:val="20"/>
        </w:rPr>
        <w:t xml:space="preserve"> 3년이 지나도 2022년 수준을 넘어서지 못한 셈이다.</w:t>
      </w:r>
    </w:p>
    <w:p>
      <w:pPr>
        <w:jc w:val="center"/>
        <w:spacing w:after="60" w:before="160" w:line="384" w:lineRule="auto"/>
      </w:pPr>
      <w:r>
        <w:rPr>
          <w:rFonts w:ascii="Arial" w:eastAsia="맑은 고딕" w:hAnsi="Arial"/>
          <w:b/>
          <w:bCs/>
          <w:sz w:val="20"/>
          <w:szCs w:val="20"/>
        </w:rPr>
        <w:t>&lt;표 4&gt; 6개 광역시 자체수입 비율 비교 (2024년)</w:t>
      </w:r>
    </w:p>
    <w:tbl>
      <w:tblPr>
        <w:tblW w:w="87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0"/>
        <w:gridCol w:w="2138"/>
        <w:gridCol w:w="2138"/>
        <w:gridCol w:w="2375"/>
        <w:gridCol w:w="1437"/>
      </w:tblGrid>
      <w:tr>
        <w:trPr>
          <w:tblHeader/>
        </w:trPr>
        <w:tc>
          <w:tcPr>
            <w:tcW w:w="7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center"/>
              <w:spacing w:after="0" w:line="264" w:lineRule="auto"/>
            </w:pPr>
            <w:r>
              <w:rPr>
                <w:rFonts w:ascii="Arial" w:eastAsia="맑은 고딕" w:hAnsi="Arial"/>
                <w:b/>
                <w:bCs/>
                <w:sz w:val="18"/>
                <w:szCs w:val="18"/>
              </w:rPr>
              <w:t>도시</w:t>
            </w:r>
          </w:p>
        </w:tc>
        <w:tc>
          <w:tcPr>
            <w:tcW w:w="2138"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center"/>
              <w:spacing w:after="0" w:line="264" w:lineRule="auto"/>
            </w:pPr>
            <w:r>
              <w:rPr>
                <w:rFonts w:ascii="Arial" w:eastAsia="맑은 고딕" w:hAnsi="Arial"/>
                <w:b/>
                <w:bCs/>
                <w:sz w:val="18"/>
                <w:szCs w:val="18"/>
              </w:rPr>
              <w:t>지방세</w:t>
            </w:r>
          </w:p>
        </w:tc>
        <w:tc>
          <w:tcPr>
            <w:tcW w:w="2138"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center"/>
              <w:spacing w:after="0" w:line="264" w:lineRule="auto"/>
            </w:pPr>
            <w:r>
              <w:rPr>
                <w:rFonts w:ascii="Arial" w:eastAsia="맑은 고딕" w:hAnsi="Arial"/>
                <w:b/>
                <w:bCs/>
                <w:sz w:val="18"/>
                <w:szCs w:val="18"/>
              </w:rPr>
              <w:t>세외수입</w:t>
            </w:r>
          </w:p>
        </w:tc>
        <w:tc>
          <w:tcPr>
            <w:tcW w:w="2375"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center"/>
              <w:spacing w:after="0" w:line="264" w:lineRule="auto"/>
            </w:pPr>
            <w:r>
              <w:rPr>
                <w:rFonts w:ascii="Arial" w:eastAsia="맑은 고딕" w:hAnsi="Arial"/>
                <w:b/>
                <w:bCs/>
                <w:sz w:val="18"/>
                <w:szCs w:val="18"/>
              </w:rPr>
              <w:t>세입 총액</w:t>
            </w:r>
          </w:p>
        </w:tc>
        <w:tc>
          <w:tcPr>
            <w:tcW w:w="1437"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center"/>
              <w:spacing w:after="0" w:line="264" w:lineRule="auto"/>
            </w:pPr>
            <w:r>
              <w:rPr>
                <w:rFonts w:ascii="Arial" w:eastAsia="맑은 고딕" w:hAnsi="Arial"/>
                <w:b/>
                <w:bCs/>
                <w:sz w:val="18"/>
                <w:szCs w:val="18"/>
              </w:rPr>
              <w:t>자체수입 비율</w:t>
            </w:r>
          </w:p>
        </w:tc>
      </w:tr>
      <w:tr>
        <w:trPr/>
        <w:tc>
          <w:tcPr>
            <w:tcW w:w="7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val="0"/>
                <w:bCs w:val="0"/>
                <w:sz w:val="18"/>
                <w:szCs w:val="18"/>
              </w:rPr>
              <w:t>인천</w:t>
            </w:r>
          </w:p>
        </w:tc>
        <w:tc>
          <w:tcPr>
            <w:tcW w:w="2138"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val="0"/>
                <w:bCs w:val="0"/>
                <w:sz w:val="18"/>
                <w:szCs w:val="18"/>
              </w:rPr>
              <w:t>4조 7,173억</w:t>
            </w:r>
          </w:p>
        </w:tc>
        <w:tc>
          <w:tcPr>
            <w:tcW w:w="2138"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val="0"/>
                <w:bCs w:val="0"/>
                <w:sz w:val="18"/>
                <w:szCs w:val="18"/>
              </w:rPr>
              <w:t>2조 5,608억</w:t>
            </w:r>
          </w:p>
        </w:tc>
        <w:tc>
          <w:tcPr>
            <w:tcW w:w="2375"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val="0"/>
                <w:bCs w:val="0"/>
                <w:sz w:val="18"/>
                <w:szCs w:val="18"/>
              </w:rPr>
              <w:t>16조 6,712억</w:t>
            </w:r>
          </w:p>
        </w:tc>
        <w:tc>
          <w:tcPr>
            <w:tcW w:w="1437"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val="0"/>
                <w:bCs w:val="0"/>
                <w:sz w:val="18"/>
                <w:szCs w:val="18"/>
              </w:rPr>
              <w:t>43.66%</w:t>
            </w:r>
          </w:p>
        </w:tc>
      </w:tr>
      <w:tr>
        <w:trPr/>
        <w:tc>
          <w:tcPr>
            <w:tcW w:w="7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val="0"/>
                <w:bCs w:val="0"/>
                <w:sz w:val="18"/>
                <w:szCs w:val="18"/>
              </w:rPr>
              <w:t>울산</w:t>
            </w:r>
          </w:p>
        </w:tc>
        <w:tc>
          <w:tcPr>
            <w:tcW w:w="2138"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val="0"/>
                <w:bCs w:val="0"/>
                <w:sz w:val="18"/>
                <w:szCs w:val="18"/>
              </w:rPr>
              <w:t>1조 7,996억</w:t>
            </w:r>
          </w:p>
        </w:tc>
        <w:tc>
          <w:tcPr>
            <w:tcW w:w="2138"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val="0"/>
                <w:bCs w:val="0"/>
                <w:sz w:val="18"/>
                <w:szCs w:val="18"/>
              </w:rPr>
              <w:t>5,252억</w:t>
            </w:r>
          </w:p>
        </w:tc>
        <w:tc>
          <w:tcPr>
            <w:tcW w:w="2375"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val="0"/>
                <w:bCs w:val="0"/>
                <w:sz w:val="18"/>
                <w:szCs w:val="18"/>
              </w:rPr>
              <w:t>5조 7,842억</w:t>
            </w:r>
          </w:p>
        </w:tc>
        <w:tc>
          <w:tcPr>
            <w:tcW w:w="1437"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val="0"/>
                <w:bCs w:val="0"/>
                <w:sz w:val="18"/>
                <w:szCs w:val="18"/>
              </w:rPr>
              <w:t>40.19%</w:t>
            </w:r>
          </w:p>
        </w:tc>
      </w:tr>
      <w:tr>
        <w:trPr/>
        <w:tc>
          <w:tcPr>
            <w:tcW w:w="7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val="0"/>
                <w:bCs w:val="0"/>
                <w:sz w:val="18"/>
                <w:szCs w:val="18"/>
              </w:rPr>
              <w:t>대구</w:t>
            </w:r>
          </w:p>
        </w:tc>
        <w:tc>
          <w:tcPr>
            <w:tcW w:w="2138"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val="0"/>
                <w:bCs w:val="0"/>
                <w:sz w:val="18"/>
                <w:szCs w:val="18"/>
              </w:rPr>
              <w:t>3조 4,727억</w:t>
            </w:r>
          </w:p>
        </w:tc>
        <w:tc>
          <w:tcPr>
            <w:tcW w:w="2138"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val="0"/>
                <w:bCs w:val="0"/>
                <w:sz w:val="18"/>
                <w:szCs w:val="18"/>
              </w:rPr>
              <w:t>8,499억</w:t>
            </w:r>
          </w:p>
        </w:tc>
        <w:tc>
          <w:tcPr>
            <w:tcW w:w="2375"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val="0"/>
                <w:bCs w:val="0"/>
                <w:sz w:val="18"/>
                <w:szCs w:val="18"/>
              </w:rPr>
              <w:t>11조 5,958억</w:t>
            </w:r>
          </w:p>
        </w:tc>
        <w:tc>
          <w:tcPr>
            <w:tcW w:w="1437"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val="0"/>
                <w:bCs w:val="0"/>
                <w:sz w:val="18"/>
                <w:szCs w:val="18"/>
              </w:rPr>
              <w:t>37.28%</w:t>
            </w:r>
          </w:p>
        </w:tc>
      </w:tr>
      <w:tr>
        <w:trPr/>
        <w:tc>
          <w:tcPr>
            <w:tcW w:w="7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val="0"/>
                <w:bCs w:val="0"/>
                <w:sz w:val="18"/>
                <w:szCs w:val="18"/>
              </w:rPr>
              <w:t>부산</w:t>
            </w:r>
          </w:p>
        </w:tc>
        <w:tc>
          <w:tcPr>
            <w:tcW w:w="2138"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val="0"/>
                <w:bCs w:val="0"/>
                <w:sz w:val="18"/>
                <w:szCs w:val="18"/>
              </w:rPr>
              <w:t>5조 3,268억</w:t>
            </w:r>
          </w:p>
        </w:tc>
        <w:tc>
          <w:tcPr>
            <w:tcW w:w="2138"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val="0"/>
                <w:bCs w:val="0"/>
                <w:sz w:val="18"/>
                <w:szCs w:val="18"/>
              </w:rPr>
              <w:t>1조 3,431억</w:t>
            </w:r>
          </w:p>
        </w:tc>
        <w:tc>
          <w:tcPr>
            <w:tcW w:w="2375"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val="0"/>
                <w:bCs w:val="0"/>
                <w:sz w:val="18"/>
                <w:szCs w:val="18"/>
              </w:rPr>
              <w:t>17조 9,115억</w:t>
            </w:r>
          </w:p>
        </w:tc>
        <w:tc>
          <w:tcPr>
            <w:tcW w:w="1437"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val="0"/>
                <w:bCs w:val="0"/>
                <w:sz w:val="18"/>
                <w:szCs w:val="18"/>
              </w:rPr>
              <w:t>37.24%</w:t>
            </w:r>
          </w:p>
        </w:tc>
      </w:tr>
      <w:tr>
        <w:trPr/>
        <w:tc>
          <w:tcPr>
            <w:tcW w:w="7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bCs/>
                <w:sz w:val="18"/>
                <w:szCs w:val="18"/>
              </w:rPr>
              <w:t>대전</w:t>
            </w:r>
          </w:p>
        </w:tc>
        <w:tc>
          <w:tcPr>
            <w:tcW w:w="2138"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bCs/>
                <w:sz w:val="18"/>
                <w:szCs w:val="18"/>
              </w:rPr>
              <w:t>2조 323억</w:t>
            </w:r>
          </w:p>
        </w:tc>
        <w:tc>
          <w:tcPr>
            <w:tcW w:w="2138"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bCs/>
                <w:sz w:val="18"/>
                <w:szCs w:val="18"/>
              </w:rPr>
              <w:t>6,273억</w:t>
            </w:r>
          </w:p>
        </w:tc>
        <w:tc>
          <w:tcPr>
            <w:tcW w:w="2375"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bCs/>
                <w:sz w:val="18"/>
                <w:szCs w:val="18"/>
              </w:rPr>
              <w:t>7조 4,651억</w:t>
            </w:r>
          </w:p>
        </w:tc>
        <w:tc>
          <w:tcPr>
            <w:tcW w:w="1437"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bCs/>
                <w:sz w:val="18"/>
                <w:szCs w:val="18"/>
              </w:rPr>
              <w:t>35.63%</w:t>
            </w:r>
          </w:p>
        </w:tc>
      </w:tr>
      <w:tr>
        <w:trPr/>
        <w:tc>
          <w:tcPr>
            <w:tcW w:w="7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val="0"/>
                <w:bCs w:val="0"/>
                <w:sz w:val="18"/>
                <w:szCs w:val="18"/>
              </w:rPr>
              <w:t>광주</w:t>
            </w:r>
          </w:p>
        </w:tc>
        <w:tc>
          <w:tcPr>
            <w:tcW w:w="2138"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val="0"/>
                <w:bCs w:val="0"/>
                <w:sz w:val="18"/>
                <w:szCs w:val="18"/>
              </w:rPr>
              <w:t>2조 579억</w:t>
            </w:r>
          </w:p>
        </w:tc>
        <w:tc>
          <w:tcPr>
            <w:tcW w:w="2138"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val="0"/>
                <w:bCs w:val="0"/>
                <w:sz w:val="18"/>
                <w:szCs w:val="18"/>
              </w:rPr>
              <w:t>4,971억</w:t>
            </w:r>
          </w:p>
        </w:tc>
        <w:tc>
          <w:tcPr>
            <w:tcW w:w="2375"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val="0"/>
                <w:bCs w:val="0"/>
                <w:sz w:val="18"/>
                <w:szCs w:val="18"/>
              </w:rPr>
              <w:t>8조 888억</w:t>
            </w:r>
          </w:p>
        </w:tc>
        <w:tc>
          <w:tcPr>
            <w:tcW w:w="1437"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val="0"/>
                <w:bCs w:val="0"/>
                <w:sz w:val="18"/>
                <w:szCs w:val="18"/>
              </w:rPr>
              <w:t>31.59%</w:t>
            </w:r>
          </w:p>
        </w:tc>
      </w:tr>
    </w:tbl>
    <w:p>
      <w:pPr>
        <w:spacing w:after="0"/>
      </w:pPr>
    </w:p>
    <w:p>
      <w:pPr>
        <w:jc w:val="left"/>
        <w:spacing w:after="120" w:before="0" w:line="384" w:lineRule="auto"/>
      </w:pPr>
      <w:r>
        <w:rPr>
          <w:rFonts w:ascii="Arial" w:eastAsia="맑은 고딕" w:hAnsi="Arial"/>
          <w:b w:val="0"/>
          <w:bCs w:val="0"/>
          <w:sz w:val="16"/>
          <w:szCs w:val="16"/>
        </w:rPr>
        <w:t>출처: 지방재정365 재원별 세입결산, 6개 광역시 본청 2024년 기준. 공시지표로 산출한 값이다.</w:t>
      </w:r>
    </w:p>
    <w:p>
      <w:pPr>
        <w:ind w:firstLine="200"/>
        <w:jc w:val="both"/>
        <w:spacing w:after="60" w:before="0" w:line="384" w:lineRule="auto"/>
      </w:pPr>
      <w:r>
        <w:rPr>
          <w:rFonts w:ascii="Arial" w:eastAsia="맑은 고딕" w:hAnsi="Arial"/>
          <w:b w:val="0"/>
          <w:bCs w:val="0"/>
          <w:sz w:val="20"/>
          <w:szCs w:val="20"/>
        </w:rPr>
        <w:t xml:space="preserve">대전은 6개 광역시 중 </w:t>
      </w:r>
      <w:r>
        <w:rPr>
          <w:rFonts w:ascii="Arial" w:eastAsia="맑은 고딕" w:hAnsi="Arial"/>
          <w:b/>
          <w:bCs/>
          <w:sz w:val="20"/>
          <w:szCs w:val="20"/>
        </w:rPr>
        <w:t>다섯째</w:t>
      </w:r>
      <w:r>
        <w:rPr>
          <w:rFonts w:ascii="Arial" w:eastAsia="맑은 고딕" w:hAnsi="Arial"/>
          <w:b w:val="0"/>
          <w:bCs w:val="0"/>
          <w:sz w:val="20"/>
          <w:szCs w:val="20"/>
        </w:rPr>
        <w:t>다. 광주만 대전보다 낮다. 재정자립도 순위(6개 중 5위)와 방향이 같다.</w:t>
      </w:r>
    </w:p>
    <w:p>
      <w:pPr>
        <w:ind w:firstLine="200"/>
        <w:jc w:val="both"/>
        <w:spacing w:after="60" w:before="0" w:line="384" w:lineRule="auto"/>
      </w:pPr>
      <w:r>
        <w:rPr>
          <w:rFonts w:ascii="Arial" w:eastAsia="맑은 고딕" w:hAnsi="Arial"/>
          <w:b w:val="0"/>
          <w:bCs w:val="0"/>
          <w:sz w:val="20"/>
          <w:szCs w:val="20"/>
        </w:rPr>
        <w:t xml:space="preserve">정리하면, </w:t>
      </w:r>
      <w:r>
        <w:rPr>
          <w:rFonts w:ascii="Arial" w:eastAsia="맑은 고딕" w:hAnsi="Arial"/>
          <w:b/>
          <w:bCs/>
          <w:sz w:val="20"/>
          <w:szCs w:val="20"/>
        </w:rPr>
        <w:t>대전시가 스스로 버는 돈은 금액으로는 조금씩 늘고 있지만 살림이 커지는 속도를 따라가지 못해 비중은 오히려 줄고 있다.</w:t>
      </w:r>
      <w:r>
        <w:rPr>
          <w:rFonts w:ascii="Arial" w:eastAsia="맑은 고딕" w:hAnsi="Arial"/>
          <w:b w:val="0"/>
          <w:bCs w:val="0"/>
          <w:sz w:val="20"/>
          <w:szCs w:val="20"/>
        </w:rPr>
        <w:t xml:space="preserve"> 세입이 10.8% 늘어난 2025년에도 그 증가의 98%가 국고보조금이었다.</w:t>
      </w:r>
    </w:p>
    <w:p>
      <w:pPr>
        <w:jc w:val="left"/>
        <w:spacing w:after="100" w:before="240" w:line="384" w:lineRule="auto"/>
      </w:pPr>
      <w:r>
        <w:rPr>
          <w:rFonts w:ascii="Arial" w:eastAsia="맑은 고딕" w:hAnsi="Arial"/>
          <w:b/>
          <w:bCs/>
          <w:sz w:val="22"/>
          <w:szCs w:val="22"/>
        </w:rPr>
        <w:t>4. 회계별 집행 실태</w:t>
      </w:r>
    </w:p>
    <w:p>
      <w:pPr>
        <w:ind w:firstLine="200"/>
        <w:jc w:val="both"/>
        <w:spacing w:after="60" w:before="0" w:line="384" w:lineRule="auto"/>
      </w:pPr>
      <w:r>
        <w:rPr>
          <w:rFonts w:ascii="Arial" w:eastAsia="맑은 고딕" w:hAnsi="Arial"/>
          <w:b w:val="0"/>
          <w:bCs w:val="0"/>
          <w:sz w:val="20"/>
          <w:szCs w:val="20"/>
        </w:rPr>
        <w:t>전체 집행률은 93.9%다. 그러나 회계별로 나누어 보면 편차가 크다. 일반회계는 96.8%를 집행한 반면, 특별회계는 81.6%에 그쳤다.</w:t>
      </w:r>
    </w:p>
    <w:p>
      <w:pPr>
        <w:jc w:val="center"/>
        <w:spacing w:after="60" w:before="160" w:line="384" w:lineRule="auto"/>
      </w:pPr>
      <w:r>
        <w:rPr>
          <w:rFonts w:ascii="Arial" w:eastAsia="맑은 고딕" w:hAnsi="Arial"/>
          <w:b/>
          <w:bCs/>
          <w:sz w:val="20"/>
          <w:szCs w:val="20"/>
        </w:rPr>
        <w:t>&lt;표 5&gt; 회계별 집행률과 이월액</w:t>
      </w:r>
    </w:p>
    <w:tbl>
      <w:tblPr>
        <w:tblW w:w="87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63"/>
        <w:gridCol w:w="2138"/>
        <w:gridCol w:w="2138"/>
        <w:gridCol w:w="1188"/>
        <w:gridCol w:w="1661"/>
      </w:tblGrid>
      <w:tr>
        <w:trPr>
          <w:tblHeader/>
        </w:trPr>
        <w:tc>
          <w:tcPr>
            <w:tcW w:w="1663"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center"/>
              <w:spacing w:after="0" w:line="264" w:lineRule="auto"/>
            </w:pPr>
            <w:r>
              <w:rPr>
                <w:rFonts w:ascii="Arial" w:eastAsia="맑은 고딕" w:hAnsi="Arial"/>
                <w:b/>
                <w:bCs/>
                <w:sz w:val="18"/>
                <w:szCs w:val="18"/>
              </w:rPr>
              <w:t>회계</w:t>
            </w:r>
          </w:p>
        </w:tc>
        <w:tc>
          <w:tcPr>
            <w:tcW w:w="2138"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center"/>
              <w:spacing w:after="0" w:line="264" w:lineRule="auto"/>
            </w:pPr>
            <w:r>
              <w:rPr>
                <w:rFonts w:ascii="Arial" w:eastAsia="맑은 고딕" w:hAnsi="Arial"/>
                <w:b/>
                <w:bCs/>
                <w:sz w:val="18"/>
                <w:szCs w:val="18"/>
              </w:rPr>
              <w:t>예산현액</w:t>
            </w:r>
          </w:p>
        </w:tc>
        <w:tc>
          <w:tcPr>
            <w:tcW w:w="2138"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center"/>
              <w:spacing w:after="0" w:line="264" w:lineRule="auto"/>
            </w:pPr>
            <w:r>
              <w:rPr>
                <w:rFonts w:ascii="Arial" w:eastAsia="맑은 고딕" w:hAnsi="Arial"/>
                <w:b/>
                <w:bCs/>
                <w:sz w:val="18"/>
                <w:szCs w:val="18"/>
              </w:rPr>
              <w:t>지출액</w:t>
            </w:r>
          </w:p>
        </w:tc>
        <w:tc>
          <w:tcPr>
            <w:tcW w:w="1188"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center"/>
              <w:spacing w:after="0" w:line="264" w:lineRule="auto"/>
            </w:pPr>
            <w:r>
              <w:rPr>
                <w:rFonts w:ascii="Arial" w:eastAsia="맑은 고딕" w:hAnsi="Arial"/>
                <w:b/>
                <w:bCs/>
                <w:sz w:val="18"/>
                <w:szCs w:val="18"/>
              </w:rPr>
              <w:t>집행률</w:t>
            </w:r>
          </w:p>
        </w:tc>
        <w:tc>
          <w:tcPr>
            <w:tcW w:w="1661"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center"/>
              <w:spacing w:after="0" w:line="264" w:lineRule="auto"/>
            </w:pPr>
            <w:r>
              <w:rPr>
                <w:rFonts w:ascii="Arial" w:eastAsia="맑은 고딕" w:hAnsi="Arial"/>
                <w:b/>
                <w:bCs/>
                <w:sz w:val="18"/>
                <w:szCs w:val="18"/>
              </w:rPr>
              <w:t>다음연도 이월</w:t>
            </w:r>
          </w:p>
        </w:tc>
      </w:tr>
      <w:tr>
        <w:trPr/>
        <w:tc>
          <w:tcPr>
            <w:tcW w:w="1663"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val="0"/>
                <w:bCs w:val="0"/>
                <w:sz w:val="18"/>
                <w:szCs w:val="18"/>
              </w:rPr>
              <w:t>합계</w:t>
            </w:r>
          </w:p>
        </w:tc>
        <w:tc>
          <w:tcPr>
            <w:tcW w:w="2138"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val="0"/>
                <w:bCs w:val="0"/>
                <w:sz w:val="18"/>
                <w:szCs w:val="18"/>
              </w:rPr>
              <w:t>8조 2,179억</w:t>
            </w:r>
          </w:p>
        </w:tc>
        <w:tc>
          <w:tcPr>
            <w:tcW w:w="2138"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val="0"/>
                <w:bCs w:val="0"/>
                <w:sz w:val="18"/>
                <w:szCs w:val="18"/>
              </w:rPr>
              <w:t>7조 7,132억</w:t>
            </w:r>
          </w:p>
        </w:tc>
        <w:tc>
          <w:tcPr>
            <w:tcW w:w="1188"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val="0"/>
                <w:bCs w:val="0"/>
                <w:sz w:val="18"/>
                <w:szCs w:val="18"/>
              </w:rPr>
              <w:t>93.9%</w:t>
            </w:r>
          </w:p>
        </w:tc>
        <w:tc>
          <w:tcPr>
            <w:tcW w:w="1661"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val="0"/>
                <w:bCs w:val="0"/>
                <w:sz w:val="18"/>
                <w:szCs w:val="18"/>
              </w:rPr>
              <w:t>3,679억</w:t>
            </w:r>
          </w:p>
        </w:tc>
      </w:tr>
      <w:tr>
        <w:trPr/>
        <w:tc>
          <w:tcPr>
            <w:tcW w:w="1663"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val="0"/>
                <w:bCs w:val="0"/>
                <w:sz w:val="18"/>
                <w:szCs w:val="18"/>
              </w:rPr>
              <w:t>일반회계</w:t>
            </w:r>
          </w:p>
        </w:tc>
        <w:tc>
          <w:tcPr>
            <w:tcW w:w="2138"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val="0"/>
                <w:bCs w:val="0"/>
                <w:sz w:val="18"/>
                <w:szCs w:val="18"/>
              </w:rPr>
              <w:t>6조 6,301억</w:t>
            </w:r>
          </w:p>
        </w:tc>
        <w:tc>
          <w:tcPr>
            <w:tcW w:w="2138"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val="0"/>
                <w:bCs w:val="0"/>
                <w:sz w:val="18"/>
                <w:szCs w:val="18"/>
              </w:rPr>
              <w:t>6조 4,168억</w:t>
            </w:r>
          </w:p>
        </w:tc>
        <w:tc>
          <w:tcPr>
            <w:tcW w:w="1188"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val="0"/>
                <w:bCs w:val="0"/>
                <w:sz w:val="18"/>
                <w:szCs w:val="18"/>
              </w:rPr>
              <w:t>96.8%</w:t>
            </w:r>
          </w:p>
        </w:tc>
        <w:tc>
          <w:tcPr>
            <w:tcW w:w="1661"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val="0"/>
                <w:bCs w:val="0"/>
                <w:sz w:val="18"/>
                <w:szCs w:val="18"/>
              </w:rPr>
              <w:t>1,446억</w:t>
            </w:r>
          </w:p>
        </w:tc>
      </w:tr>
      <w:tr>
        <w:trPr/>
        <w:tc>
          <w:tcPr>
            <w:tcW w:w="1663"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val="0"/>
                <w:bCs w:val="0"/>
                <w:sz w:val="18"/>
                <w:szCs w:val="18"/>
              </w:rPr>
              <w:t>특별회계 계</w:t>
            </w:r>
          </w:p>
        </w:tc>
        <w:tc>
          <w:tcPr>
            <w:tcW w:w="2138"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val="0"/>
                <w:bCs w:val="0"/>
                <w:sz w:val="18"/>
                <w:szCs w:val="18"/>
              </w:rPr>
              <w:t>1조 5,878억</w:t>
            </w:r>
          </w:p>
        </w:tc>
        <w:tc>
          <w:tcPr>
            <w:tcW w:w="2138"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val="0"/>
                <w:bCs w:val="0"/>
                <w:sz w:val="18"/>
                <w:szCs w:val="18"/>
              </w:rPr>
              <w:t>1조 2,964억</w:t>
            </w:r>
          </w:p>
        </w:tc>
        <w:tc>
          <w:tcPr>
            <w:tcW w:w="1188"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val="0"/>
                <w:bCs w:val="0"/>
                <w:sz w:val="18"/>
                <w:szCs w:val="18"/>
              </w:rPr>
              <w:t>81.6%</w:t>
            </w:r>
          </w:p>
        </w:tc>
        <w:tc>
          <w:tcPr>
            <w:tcW w:w="1661"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val="0"/>
                <w:bCs w:val="0"/>
                <w:sz w:val="18"/>
                <w:szCs w:val="18"/>
              </w:rPr>
              <w:t>2,233억</w:t>
            </w:r>
          </w:p>
        </w:tc>
      </w:tr>
      <w:tr>
        <w:trPr/>
        <w:tc>
          <w:tcPr>
            <w:tcW w:w="1663"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val="0"/>
                <w:bCs w:val="0"/>
                <w:sz w:val="18"/>
                <w:szCs w:val="18"/>
              </w:rPr>
              <w:t>공기업특별회계</w:t>
            </w:r>
          </w:p>
        </w:tc>
        <w:tc>
          <w:tcPr>
            <w:tcW w:w="2138"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val="0"/>
                <w:bCs w:val="0"/>
                <w:sz w:val="18"/>
                <w:szCs w:val="18"/>
              </w:rPr>
              <w:t>4,647억</w:t>
            </w:r>
          </w:p>
        </w:tc>
        <w:tc>
          <w:tcPr>
            <w:tcW w:w="2138"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val="0"/>
                <w:bCs w:val="0"/>
                <w:sz w:val="18"/>
                <w:szCs w:val="18"/>
              </w:rPr>
              <w:t>3,326억</w:t>
            </w:r>
          </w:p>
        </w:tc>
        <w:tc>
          <w:tcPr>
            <w:tcW w:w="1188"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val="0"/>
                <w:bCs w:val="0"/>
                <w:sz w:val="18"/>
                <w:szCs w:val="18"/>
              </w:rPr>
              <w:t>71.6%</w:t>
            </w:r>
          </w:p>
        </w:tc>
        <w:tc>
          <w:tcPr>
            <w:tcW w:w="1661"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val="0"/>
                <w:bCs w:val="0"/>
                <w:sz w:val="18"/>
                <w:szCs w:val="18"/>
              </w:rPr>
              <w:t>1,004억</w:t>
            </w:r>
          </w:p>
        </w:tc>
      </w:tr>
      <w:tr>
        <w:trPr/>
        <w:tc>
          <w:tcPr>
            <w:tcW w:w="1663"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val="0"/>
                <w:bCs w:val="0"/>
                <w:sz w:val="18"/>
                <w:szCs w:val="18"/>
              </w:rPr>
              <w:t>상수도사업</w:t>
            </w:r>
          </w:p>
        </w:tc>
        <w:tc>
          <w:tcPr>
            <w:tcW w:w="2138"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val="0"/>
                <w:bCs w:val="0"/>
                <w:sz w:val="18"/>
                <w:szCs w:val="18"/>
              </w:rPr>
              <w:t>1,834억</w:t>
            </w:r>
          </w:p>
        </w:tc>
        <w:tc>
          <w:tcPr>
            <w:tcW w:w="2138"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val="0"/>
                <w:bCs w:val="0"/>
                <w:sz w:val="18"/>
                <w:szCs w:val="18"/>
              </w:rPr>
              <w:t>1,372억</w:t>
            </w:r>
          </w:p>
        </w:tc>
        <w:tc>
          <w:tcPr>
            <w:tcW w:w="1188"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val="0"/>
                <w:bCs w:val="0"/>
                <w:sz w:val="18"/>
                <w:szCs w:val="18"/>
              </w:rPr>
              <w:t>74.8%</w:t>
            </w:r>
          </w:p>
        </w:tc>
        <w:tc>
          <w:tcPr>
            <w:tcW w:w="1661"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val="0"/>
                <w:bCs w:val="0"/>
                <w:sz w:val="18"/>
                <w:szCs w:val="18"/>
              </w:rPr>
              <w:t>286억</w:t>
            </w:r>
          </w:p>
        </w:tc>
      </w:tr>
      <w:tr>
        <w:trPr/>
        <w:tc>
          <w:tcPr>
            <w:tcW w:w="1663"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val="0"/>
                <w:bCs w:val="0"/>
                <w:sz w:val="18"/>
                <w:szCs w:val="18"/>
              </w:rPr>
              <w:t>하수도사업</w:t>
            </w:r>
          </w:p>
        </w:tc>
        <w:tc>
          <w:tcPr>
            <w:tcW w:w="2138"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val="0"/>
                <w:bCs w:val="0"/>
                <w:sz w:val="18"/>
                <w:szCs w:val="18"/>
              </w:rPr>
              <w:t>2,813억</w:t>
            </w:r>
          </w:p>
        </w:tc>
        <w:tc>
          <w:tcPr>
            <w:tcW w:w="2138"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val="0"/>
                <w:bCs w:val="0"/>
                <w:sz w:val="18"/>
                <w:szCs w:val="18"/>
              </w:rPr>
              <w:t>1,954억</w:t>
            </w:r>
          </w:p>
        </w:tc>
        <w:tc>
          <w:tcPr>
            <w:tcW w:w="1188"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val="0"/>
                <w:bCs w:val="0"/>
                <w:sz w:val="18"/>
                <w:szCs w:val="18"/>
              </w:rPr>
              <w:t>69.5%</w:t>
            </w:r>
          </w:p>
        </w:tc>
        <w:tc>
          <w:tcPr>
            <w:tcW w:w="1661"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val="0"/>
                <w:bCs w:val="0"/>
                <w:sz w:val="18"/>
                <w:szCs w:val="18"/>
              </w:rPr>
              <w:t>719억</w:t>
            </w:r>
          </w:p>
        </w:tc>
      </w:tr>
      <w:tr>
        <w:trPr/>
        <w:tc>
          <w:tcPr>
            <w:tcW w:w="1663"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val="0"/>
                <w:bCs w:val="0"/>
                <w:sz w:val="18"/>
                <w:szCs w:val="18"/>
              </w:rPr>
              <w:t>기타특별회계</w:t>
            </w:r>
          </w:p>
        </w:tc>
        <w:tc>
          <w:tcPr>
            <w:tcW w:w="2138"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val="0"/>
                <w:bCs w:val="0"/>
                <w:sz w:val="18"/>
                <w:szCs w:val="18"/>
              </w:rPr>
              <w:t>1조 1,231억</w:t>
            </w:r>
          </w:p>
        </w:tc>
        <w:tc>
          <w:tcPr>
            <w:tcW w:w="2138"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val="0"/>
                <w:bCs w:val="0"/>
                <w:sz w:val="18"/>
                <w:szCs w:val="18"/>
              </w:rPr>
              <w:t>9,638억</w:t>
            </w:r>
          </w:p>
        </w:tc>
        <w:tc>
          <w:tcPr>
            <w:tcW w:w="1188"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val="0"/>
                <w:bCs w:val="0"/>
                <w:sz w:val="18"/>
                <w:szCs w:val="18"/>
              </w:rPr>
              <w:t>85.8%</w:t>
            </w:r>
          </w:p>
        </w:tc>
        <w:tc>
          <w:tcPr>
            <w:tcW w:w="1661"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val="0"/>
                <w:bCs w:val="0"/>
                <w:sz w:val="18"/>
                <w:szCs w:val="18"/>
              </w:rPr>
              <w:t>1,229억</w:t>
            </w:r>
          </w:p>
        </w:tc>
      </w:tr>
      <w:tr>
        <w:trPr/>
        <w:tc>
          <w:tcPr>
            <w:tcW w:w="1663"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val="0"/>
                <w:bCs w:val="0"/>
                <w:sz w:val="18"/>
                <w:szCs w:val="18"/>
              </w:rPr>
              <w:t>도시철도사업</w:t>
            </w:r>
          </w:p>
        </w:tc>
        <w:tc>
          <w:tcPr>
            <w:tcW w:w="2138"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val="0"/>
                <w:bCs w:val="0"/>
                <w:sz w:val="18"/>
                <w:szCs w:val="18"/>
              </w:rPr>
              <w:t>3,211억</w:t>
            </w:r>
          </w:p>
        </w:tc>
        <w:tc>
          <w:tcPr>
            <w:tcW w:w="2138"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val="0"/>
                <w:bCs w:val="0"/>
                <w:sz w:val="18"/>
                <w:szCs w:val="18"/>
              </w:rPr>
              <w:t>2,173억</w:t>
            </w:r>
          </w:p>
        </w:tc>
        <w:tc>
          <w:tcPr>
            <w:tcW w:w="1188"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val="0"/>
                <w:bCs w:val="0"/>
                <w:sz w:val="18"/>
                <w:szCs w:val="18"/>
              </w:rPr>
              <w:t>67.7%</w:t>
            </w:r>
          </w:p>
        </w:tc>
        <w:tc>
          <w:tcPr>
            <w:tcW w:w="1661"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val="0"/>
                <w:bCs w:val="0"/>
                <w:sz w:val="18"/>
                <w:szCs w:val="18"/>
              </w:rPr>
              <w:t>1,037억</w:t>
            </w:r>
          </w:p>
        </w:tc>
      </w:tr>
      <w:tr>
        <w:trPr/>
        <w:tc>
          <w:tcPr>
            <w:tcW w:w="1663"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val="0"/>
                <w:bCs w:val="0"/>
                <w:sz w:val="18"/>
                <w:szCs w:val="18"/>
              </w:rPr>
              <w:t>산업단지</w:t>
            </w:r>
          </w:p>
        </w:tc>
        <w:tc>
          <w:tcPr>
            <w:tcW w:w="2138"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val="0"/>
                <w:bCs w:val="0"/>
                <w:sz w:val="18"/>
                <w:szCs w:val="18"/>
              </w:rPr>
              <w:t>423억</w:t>
            </w:r>
          </w:p>
        </w:tc>
        <w:tc>
          <w:tcPr>
            <w:tcW w:w="2138"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val="0"/>
                <w:bCs w:val="0"/>
                <w:sz w:val="18"/>
                <w:szCs w:val="18"/>
              </w:rPr>
              <w:t>268억</w:t>
            </w:r>
          </w:p>
        </w:tc>
        <w:tc>
          <w:tcPr>
            <w:tcW w:w="1188"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val="0"/>
                <w:bCs w:val="0"/>
                <w:sz w:val="18"/>
                <w:szCs w:val="18"/>
              </w:rPr>
              <w:t>63.3%</w:t>
            </w:r>
          </w:p>
        </w:tc>
        <w:tc>
          <w:tcPr>
            <w:tcW w:w="1661"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val="0"/>
                <w:bCs w:val="0"/>
                <w:sz w:val="18"/>
                <w:szCs w:val="18"/>
              </w:rPr>
              <w:t>136억</w:t>
            </w:r>
          </w:p>
        </w:tc>
      </w:tr>
      <w:tr>
        <w:trPr/>
        <w:tc>
          <w:tcPr>
            <w:tcW w:w="1663"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val="0"/>
                <w:bCs w:val="0"/>
                <w:sz w:val="18"/>
                <w:szCs w:val="18"/>
              </w:rPr>
              <w:t>소방</w:t>
            </w:r>
          </w:p>
        </w:tc>
        <w:tc>
          <w:tcPr>
            <w:tcW w:w="2138"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val="0"/>
                <w:bCs w:val="0"/>
                <w:sz w:val="18"/>
                <w:szCs w:val="18"/>
              </w:rPr>
              <w:t>2,219억</w:t>
            </w:r>
          </w:p>
        </w:tc>
        <w:tc>
          <w:tcPr>
            <w:tcW w:w="2138"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val="0"/>
                <w:bCs w:val="0"/>
                <w:sz w:val="18"/>
                <w:szCs w:val="18"/>
              </w:rPr>
              <w:t>2,153억</w:t>
            </w:r>
          </w:p>
        </w:tc>
        <w:tc>
          <w:tcPr>
            <w:tcW w:w="1188"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val="0"/>
                <w:bCs w:val="0"/>
                <w:sz w:val="18"/>
                <w:szCs w:val="18"/>
              </w:rPr>
              <w:t>97.0%</w:t>
            </w:r>
          </w:p>
        </w:tc>
        <w:tc>
          <w:tcPr>
            <w:tcW w:w="1661"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val="0"/>
                <w:bCs w:val="0"/>
                <w:sz w:val="18"/>
                <w:szCs w:val="18"/>
              </w:rPr>
              <w:t>26억</w:t>
            </w:r>
          </w:p>
        </w:tc>
      </w:tr>
    </w:tbl>
    <w:p>
      <w:pPr>
        <w:spacing w:after="0"/>
      </w:pPr>
    </w:p>
    <w:p>
      <w:pPr>
        <w:jc w:val="left"/>
        <w:spacing w:after="120" w:before="0" w:line="384" w:lineRule="auto"/>
      </w:pPr>
      <w:r>
        <w:rPr>
          <w:rFonts w:ascii="Arial" w:eastAsia="맑은 고딕" w:hAnsi="Arial"/>
          <w:b w:val="0"/>
          <w:bCs w:val="0"/>
          <w:sz w:val="16"/>
          <w:szCs w:val="16"/>
        </w:rPr>
        <w:t>출처: 2025회계연도 결산서 첨부서류 (2)-3 세출결산</w:t>
      </w:r>
    </w:p>
    <w:p>
      <w:pPr>
        <w:ind w:firstLine="200"/>
        <w:jc w:val="both"/>
        <w:spacing w:after="60" w:before="0" w:line="384" w:lineRule="auto"/>
      </w:pPr>
      <w:r>
        <w:rPr>
          <w:rFonts w:ascii="Arial" w:eastAsia="맑은 고딕" w:hAnsi="Arial"/>
          <w:b w:val="0"/>
          <w:bCs w:val="0"/>
          <w:sz w:val="20"/>
          <w:szCs w:val="20"/>
        </w:rPr>
        <w:t>집행률이 낮은 회계는 도시철도사업(67.7%), 하수도사업(69.5%), 산업단지(63.3%)다. 이 세 회계의 이월액만 1,892억 원으로 전체 이월액의 51.4%를 차지한다. 특히 도시철도사업과 하수도사업 두 회계가 1,756억 원으로 절반에 육박한다.</w:t>
      </w:r>
    </w:p>
    <w:p>
      <w:pPr>
        <w:ind w:firstLine="200"/>
        <w:jc w:val="both"/>
        <w:spacing w:after="60" w:before="0" w:line="384" w:lineRule="auto"/>
      </w:pPr>
      <w:r>
        <w:rPr>
          <w:rFonts w:ascii="Arial" w:eastAsia="맑은 고딕" w:hAnsi="Arial"/>
          <w:b w:val="0"/>
          <w:bCs w:val="0"/>
          <w:sz w:val="20"/>
          <w:szCs w:val="20"/>
        </w:rPr>
        <w:t xml:space="preserve">세부사업 단위로 보면, 예산현액 50억 원 이상이면서 집행률이 60%에 못 미친 사업이 </w:t>
      </w:r>
      <w:r>
        <w:rPr>
          <w:rFonts w:ascii="Arial" w:eastAsia="맑은 고딕" w:hAnsi="Arial"/>
          <w:b/>
          <w:bCs/>
          <w:sz w:val="20"/>
          <w:szCs w:val="20"/>
        </w:rPr>
        <w:t>18건</w:t>
      </w:r>
      <w:r>
        <w:rPr>
          <w:rFonts w:ascii="Arial" w:eastAsia="맑은 고딕" w:hAnsi="Arial"/>
          <w:b w:val="0"/>
          <w:bCs w:val="0"/>
          <w:sz w:val="20"/>
          <w:szCs w:val="20"/>
        </w:rPr>
        <w:t xml:space="preserve">이다. 이 가운데 3년 연속 집행률 70% 미만인 사업이 </w:t>
      </w:r>
      <w:r>
        <w:rPr>
          <w:rFonts w:ascii="Arial" w:eastAsia="맑은 고딕" w:hAnsi="Arial"/>
          <w:b/>
          <w:bCs/>
          <w:sz w:val="20"/>
          <w:szCs w:val="20"/>
        </w:rPr>
        <w:t>11건</w:t>
      </w:r>
      <w:r>
        <w:rPr>
          <w:rFonts w:ascii="Arial" w:eastAsia="맑은 고딕" w:hAnsi="Arial"/>
          <w:b w:val="0"/>
          <w:bCs w:val="0"/>
          <w:sz w:val="20"/>
          <w:szCs w:val="20"/>
        </w:rPr>
        <w:t xml:space="preserve">이며, 11건 전부가 18건 안에 들어 있다. </w:t>
      </w:r>
      <w:r>
        <w:rPr>
          <w:rFonts w:ascii="Arial" w:eastAsia="맑은 고딕" w:hAnsi="Arial"/>
          <w:b/>
          <w:bCs/>
          <w:sz w:val="20"/>
          <w:szCs w:val="20"/>
        </w:rPr>
        <w:t>사업별 명단은 첨부 1·2에 실었다.</w:t>
      </w:r>
    </w:p>
    <w:p>
      <w:pPr>
        <w:ind w:firstLine="200"/>
        <w:jc w:val="both"/>
        <w:spacing w:after="60" w:before="0" w:line="384" w:lineRule="auto"/>
      </w:pPr>
      <w:r>
        <w:rPr>
          <w:rFonts w:ascii="Arial" w:eastAsia="맑은 고딕" w:hAnsi="Arial"/>
          <w:b w:val="0"/>
          <w:bCs w:val="0"/>
          <w:sz w:val="20"/>
          <w:szCs w:val="20"/>
        </w:rPr>
        <w:t>가장 낮은 세 사업은 지하차도 진입차단시설 설치(0.9%), 대덕특구 융합연구혁신센터 조성(4.3%), 융복합 특수영상 콘텐츠 클러스터 조성(6.2%)이다. 3년 연속 저집행 11건 가운데 국민체육센터 건립 두 사업은 3년 내내 30%를 넘지 못했고, 외삼~유성복합터미널 도로와 평촌일반산업단지 공업용수도는 3년 연속 50%대 이하다.</w:t>
      </w:r>
    </w:p>
    <w:p>
      <w:pPr>
        <w:jc w:val="left"/>
        <w:spacing w:after="120" w:before="0" w:line="384" w:lineRule="auto"/>
      </w:pPr>
      <w:r>
        <w:rPr>
          <w:rFonts w:ascii="Arial" w:eastAsia="맑은 고딕" w:hAnsi="Arial"/>
          <w:b w:val="0"/>
          <w:bCs w:val="0"/>
          <w:sz w:val="16"/>
          <w:szCs w:val="16"/>
        </w:rPr>
        <w:t xml:space="preserve">주: 본청 기준(5개 자치구 자체 예산 제외)으로, 조건을 충족하는 26건에서 금융기관 예치금·기금 예탁·예비비 등 회계기술 계정 8건을 제외한 값이다. 3년 연속 건수는 조인 방식에 따라 달라진다 — 사업코드로 연결하면 11건이지만 사업명 문자열로 연결하면 7건이 된다. 국민체육센터 2건·대전추모공원·평촌 공업용수도처럼 </w:t>
      </w:r>
      <w:r>
        <w:rPr>
          <w:rFonts w:ascii="Arial" w:eastAsia="맑은 고딕" w:hAnsi="Arial"/>
          <w:b/>
          <w:bCs/>
          <w:sz w:val="16"/>
          <w:szCs w:val="16"/>
        </w:rPr>
        <w:t>연도마다 사업명이 바뀐 사업이 명칭 조인에서는 탈락</w:t>
      </w:r>
      <w:r>
        <w:rPr>
          <w:rFonts w:ascii="Arial" w:eastAsia="맑은 고딕" w:hAnsi="Arial"/>
          <w:b w:val="0"/>
          <w:bCs w:val="0"/>
          <w:sz w:val="16"/>
          <w:szCs w:val="16"/>
        </w:rPr>
        <w:t>하기 때문이며, 이 보고서는 사업코드 조인(11건)을 썼다.</w:t>
      </w:r>
    </w:p>
    <w:p>
      <w:r>
        <w:br w:type="page"/>
      </w:r>
    </w:p>
    <w:p>
      <w:pPr>
        <w:jc w:val="left"/>
        <w:spacing w:after="140" w:before="320" w:line="384" w:lineRule="auto"/>
      </w:pPr>
      <w:r>
        <w:rPr>
          <w:rFonts w:ascii="Arial" w:eastAsia="맑은 고딕" w:hAnsi="Arial"/>
          <w:b/>
          <w:bCs/>
          <w:sz w:val="26"/>
          <w:szCs w:val="26"/>
        </w:rPr>
        <w:t>Ⅲ. '재정위기'는 어디까지 왔나 — 법정 기준과의 거리</w:t>
      </w:r>
    </w:p>
    <w:p>
      <w:pPr>
        <w:jc w:val="left"/>
        <w:spacing w:after="100" w:before="240" w:line="384" w:lineRule="auto"/>
      </w:pPr>
      <w:r>
        <w:rPr>
          <w:rFonts w:ascii="Arial" w:eastAsia="맑은 고딕" w:hAnsi="Arial"/>
          <w:b/>
          <w:bCs/>
          <w:sz w:val="22"/>
          <w:szCs w:val="22"/>
        </w:rPr>
        <w:t>1. 민선9기의 재정 진단</w:t>
      </w:r>
    </w:p>
    <w:p>
      <w:pPr>
        <w:ind w:firstLine="200"/>
        <w:jc w:val="both"/>
        <w:spacing w:after="60" w:before="0" w:line="384" w:lineRule="auto"/>
      </w:pPr>
      <w:r>
        <w:rPr>
          <w:rFonts w:ascii="Arial" w:eastAsia="맑은 고딕" w:hAnsi="Arial"/>
          <w:b w:val="0"/>
          <w:bCs w:val="0"/>
          <w:sz w:val="20"/>
          <w:szCs w:val="20"/>
        </w:rPr>
        <w:t xml:space="preserve">민선9기 대전시는 출범 초부터 재정 상황을 강하게 문제 삼았다. 2026년 7월 30일에는 </w:t>
      </w:r>
      <w:r>
        <w:rPr>
          <w:rFonts w:ascii="Arial" w:eastAsia="맑은 고딕" w:hAnsi="Arial"/>
          <w:b/>
          <w:bCs/>
          <w:sz w:val="20"/>
          <w:szCs w:val="20"/>
        </w:rPr>
        <w:t>재정위기를 선언하고 71개 사업(종료 8·장기재검토 29·재원조정 34)을 조정</w:t>
      </w:r>
      <w:r>
        <w:rPr>
          <w:rFonts w:ascii="Arial" w:eastAsia="맑은 고딕" w:hAnsi="Arial"/>
          <w:b w:val="0"/>
          <w:bCs w:val="0"/>
          <w:sz w:val="20"/>
          <w:szCs w:val="20"/>
        </w:rPr>
        <w:t>한다고 발표했으며, 세입 부족을 연 5,400억~7,000억 원 규모로 제시했다. "돈이 없다"는 진단이 시 정책 전반의 전제가 된 셈이다.</w:t>
      </w:r>
    </w:p>
    <w:p>
      <w:pPr>
        <w:ind w:firstLine="200"/>
        <w:jc w:val="both"/>
        <w:spacing w:after="60" w:before="0" w:line="384" w:lineRule="auto"/>
      </w:pPr>
      <w:r>
        <w:rPr>
          <w:rFonts w:ascii="Arial" w:eastAsia="맑은 고딕" w:hAnsi="Arial"/>
          <w:b w:val="0"/>
          <w:bCs w:val="0"/>
          <w:sz w:val="20"/>
          <w:szCs w:val="20"/>
        </w:rPr>
        <w:t xml:space="preserve">시민 입장에서 확인해야 할 것은 두 가지다. </w:t>
      </w:r>
      <w:r>
        <w:rPr>
          <w:rFonts w:ascii="Arial" w:eastAsia="맑은 고딕" w:hAnsi="Arial"/>
          <w:b/>
          <w:bCs/>
          <w:sz w:val="20"/>
          <w:szCs w:val="20"/>
        </w:rPr>
        <w:t>첫째, 그 진단이 결산 수치로 뒷받침되는가. 둘째, 법이 정한 기준으로 보면 대전은 어디쯤 있는가.</w:t>
      </w:r>
    </w:p>
    <w:p>
      <w:pPr>
        <w:jc w:val="left"/>
        <w:spacing w:after="100" w:before="240" w:line="384" w:lineRule="auto"/>
      </w:pPr>
      <w:r>
        <w:rPr>
          <w:rFonts w:ascii="Arial" w:eastAsia="맑은 고딕" w:hAnsi="Arial"/>
          <w:b/>
          <w:bCs/>
          <w:sz w:val="22"/>
          <w:szCs w:val="22"/>
        </w:rPr>
        <w:t>2. 채무 규모와 증가 속도</w:t>
      </w:r>
    </w:p>
    <w:p>
      <w:pPr>
        <w:ind w:firstLine="200"/>
        <w:jc w:val="both"/>
        <w:spacing w:after="60" w:before="0" w:line="384" w:lineRule="auto"/>
      </w:pPr>
      <w:r>
        <w:rPr>
          <w:rFonts w:ascii="Arial" w:eastAsia="맑은 고딕" w:hAnsi="Arial"/>
          <w:b w:val="0"/>
          <w:bCs w:val="0"/>
          <w:sz w:val="20"/>
          <w:szCs w:val="20"/>
        </w:rPr>
        <w:t xml:space="preserve">2025년 말 대전시 본청 채무는 </w:t>
      </w:r>
      <w:r>
        <w:rPr>
          <w:rFonts w:ascii="Arial" w:eastAsia="맑은 고딕" w:hAnsi="Arial"/>
          <w:b/>
          <w:bCs/>
          <w:sz w:val="20"/>
          <w:szCs w:val="20"/>
        </w:rPr>
        <w:t>1조 5,864억 원</w:t>
      </w:r>
      <w:r>
        <w:rPr>
          <w:rFonts w:ascii="Arial" w:eastAsia="맑은 고딕" w:hAnsi="Arial"/>
          <w:b w:val="0"/>
          <w:bCs w:val="0"/>
          <w:sz w:val="20"/>
          <w:szCs w:val="20"/>
        </w:rPr>
        <w:t>이다. 2024년 말 1조 3,974억 원에서 3,426억 원을 발행하고 1,536억 원을 상환한 결과다.</w:t>
      </w:r>
    </w:p>
    <w:p>
      <w:pPr>
        <w:ind w:left="300" w:hanging="200"/>
        <w:jc w:val="both"/>
        <w:spacing w:after="60" w:before="0" w:line="384" w:lineRule="auto"/>
      </w:pPr>
      <w:r>
        <w:rPr>
          <w:rFonts w:ascii="Arial" w:eastAsia="맑은 고딕" w:hAnsi="Arial"/>
          <w:b w:val="0"/>
          <w:bCs w:val="0"/>
          <w:sz w:val="20"/>
          <w:szCs w:val="20"/>
        </w:rPr>
        <w:t xml:space="preserve">● 2019년 5,960억 원 → 2025년 1조 5,864억 원. </w:t>
      </w:r>
      <w:r>
        <w:rPr>
          <w:rFonts w:ascii="Arial" w:eastAsia="맑은 고딕" w:hAnsi="Arial"/>
          <w:b/>
          <w:bCs/>
          <w:sz w:val="20"/>
          <w:szCs w:val="20"/>
        </w:rPr>
        <w:t>6년 만에 2.66배</w:t>
      </w:r>
      <w:r>
        <w:rPr>
          <w:rFonts w:ascii="Arial" w:eastAsia="맑은 고딕" w:hAnsi="Arial"/>
          <w:b w:val="0"/>
          <w:bCs w:val="0"/>
          <w:sz w:val="20"/>
          <w:szCs w:val="20"/>
        </w:rPr>
        <w:t>가 됐다.</w:t>
      </w:r>
    </w:p>
    <w:p>
      <w:pPr>
        <w:ind w:left="300" w:hanging="200"/>
        <w:jc w:val="both"/>
        <w:spacing w:after="60" w:before="0" w:line="384" w:lineRule="auto"/>
      </w:pPr>
      <w:r>
        <w:rPr>
          <w:rFonts w:ascii="Arial" w:eastAsia="맑은 고딕" w:hAnsi="Arial"/>
          <w:b w:val="0"/>
          <w:bCs w:val="0"/>
          <w:sz w:val="20"/>
          <w:szCs w:val="20"/>
        </w:rPr>
        <w:t xml:space="preserve">● 같은 기간 세출은 5조 565억 원 → 7조 7,132억 원으로 1.53배 늘었다. </w:t>
      </w:r>
      <w:r>
        <w:rPr>
          <w:rFonts w:ascii="Arial" w:eastAsia="맑은 고딕" w:hAnsi="Arial"/>
          <w:b/>
          <w:bCs/>
          <w:sz w:val="20"/>
          <w:szCs w:val="20"/>
        </w:rPr>
        <w:t>빚이 살림보다 훨씬 빠르게 늘었다.</w:t>
      </w:r>
    </w:p>
    <w:p>
      <w:pPr>
        <w:ind w:left="300" w:hanging="200"/>
        <w:jc w:val="both"/>
        <w:spacing w:after="60" w:before="0" w:line="384" w:lineRule="auto"/>
      </w:pPr>
      <w:r>
        <w:rPr>
          <w:rFonts w:ascii="Arial" w:eastAsia="맑은 고딕" w:hAnsi="Arial"/>
          <w:b w:val="0"/>
          <w:bCs w:val="0"/>
          <w:sz w:val="20"/>
          <w:szCs w:val="20"/>
        </w:rPr>
        <w:t xml:space="preserve">● 2022년 말 1조 43억 원과 비교하면 3년 만에 </w:t>
      </w:r>
      <w:r>
        <w:rPr>
          <w:rFonts w:ascii="Arial" w:eastAsia="맑은 고딕" w:hAnsi="Arial"/>
          <w:b/>
          <w:bCs/>
          <w:sz w:val="20"/>
          <w:szCs w:val="20"/>
        </w:rPr>
        <w:t>58%</w:t>
      </w:r>
      <w:r>
        <w:rPr>
          <w:rFonts w:ascii="Arial" w:eastAsia="맑은 고딕" w:hAnsi="Arial"/>
          <w:b w:val="0"/>
          <w:bCs w:val="0"/>
          <w:sz w:val="20"/>
          <w:szCs w:val="20"/>
        </w:rPr>
        <w:t xml:space="preserve"> 늘었다.</w:t>
      </w:r>
    </w:p>
    <w:p>
      <w:pPr>
        <w:ind w:firstLine="200"/>
        <w:jc w:val="both"/>
        <w:spacing w:after="60" w:before="0" w:line="384" w:lineRule="auto"/>
      </w:pPr>
      <w:r>
        <w:rPr>
          <w:rFonts w:ascii="Arial" w:eastAsia="맑은 고딕" w:hAnsi="Arial"/>
          <w:b w:val="0"/>
          <w:bCs w:val="0"/>
          <w:sz w:val="20"/>
          <w:szCs w:val="20"/>
        </w:rPr>
        <w:t>증가 속도만 보면 진단은 근거가 있다. 다만 규모가 위험 수준인지는 별개의 문제이며, 그것을 판단하는 법정 기준이 따로 있다.</w:t>
      </w:r>
    </w:p>
    <w:p>
      <w:pPr>
        <w:jc w:val="left"/>
        <w:spacing w:after="100" w:before="240" w:line="384" w:lineRule="auto"/>
      </w:pPr>
      <w:r>
        <w:rPr>
          <w:rFonts w:ascii="Arial" w:eastAsia="맑은 고딕" w:hAnsi="Arial"/>
          <w:b/>
          <w:bCs/>
          <w:sz w:val="22"/>
          <w:szCs w:val="22"/>
        </w:rPr>
        <w:t>3. 법정 기준과 대전의 위치</w:t>
      </w:r>
    </w:p>
    <w:p>
      <w:pPr>
        <w:ind w:firstLine="200"/>
        <w:jc w:val="both"/>
        <w:spacing w:after="60" w:before="0" w:line="384" w:lineRule="auto"/>
      </w:pPr>
      <w:r>
        <w:rPr>
          <w:rFonts w:ascii="Arial" w:eastAsia="맑은 고딕" w:hAnsi="Arial"/>
          <w:b w:val="0"/>
          <w:bCs w:val="0"/>
          <w:sz w:val="20"/>
          <w:szCs w:val="20"/>
        </w:rPr>
        <w:t xml:space="preserve">지방재정법 제55조의2는 행정안전부장관이 재정위험 수준에 따라 지방자치단체를 </w:t>
      </w:r>
      <w:r>
        <w:rPr>
          <w:rFonts w:ascii="Arial" w:eastAsia="맑은 고딕" w:hAnsi="Arial"/>
          <w:b/>
          <w:bCs/>
          <w:sz w:val="20"/>
          <w:szCs w:val="20"/>
        </w:rPr>
        <w:t>재정위기단체</w:t>
      </w:r>
      <w:r>
        <w:rPr>
          <w:rFonts w:ascii="Arial" w:eastAsia="맑은 고딕" w:hAnsi="Arial"/>
          <w:b w:val="0"/>
          <w:bCs w:val="0"/>
          <w:sz w:val="20"/>
          <w:szCs w:val="20"/>
        </w:rPr>
        <w:t xml:space="preserve"> 또는 </w:t>
      </w:r>
      <w:r>
        <w:rPr>
          <w:rFonts w:ascii="Arial" w:eastAsia="맑은 고딕" w:hAnsi="Arial"/>
          <w:b/>
          <w:bCs/>
          <w:sz w:val="20"/>
          <w:szCs w:val="20"/>
        </w:rPr>
        <w:t>재정주의단체</w:t>
      </w:r>
      <w:r>
        <w:rPr>
          <w:rFonts w:ascii="Arial" w:eastAsia="맑은 고딕" w:hAnsi="Arial"/>
          <w:b w:val="0"/>
          <w:bCs w:val="0"/>
          <w:sz w:val="20"/>
          <w:szCs w:val="20"/>
        </w:rPr>
        <w:t>로 지정할 수 있도록 하고 있다. 그 구체적 기준은 같은 법 시행령 제65조의3에 여섯 가지 지표로 정해져 있다.</w:t>
      </w:r>
    </w:p>
    <w:p>
      <w:pPr>
        <w:jc w:val="center"/>
        <w:spacing w:after="60" w:before="160" w:line="384" w:lineRule="auto"/>
      </w:pPr>
      <w:r>
        <w:rPr>
          <w:rFonts w:ascii="Arial" w:eastAsia="맑은 고딕" w:hAnsi="Arial"/>
          <w:b/>
          <w:bCs/>
          <w:sz w:val="20"/>
          <w:szCs w:val="20"/>
        </w:rPr>
        <w:t>&lt;표 6&gt; 재정위기단체·재정주의단체 지정 기준 (지방재정법 시행령 제65조의3)</w:t>
      </w:r>
    </w:p>
    <w:tbl>
      <w:tblPr>
        <w:tblW w:w="87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48"/>
        <w:gridCol w:w="4394"/>
        <w:gridCol w:w="2746"/>
      </w:tblGrid>
      <w:tr>
        <w:trPr>
          <w:tblHeader/>
        </w:trPr>
        <w:tc>
          <w:tcPr>
            <w:tcW w:w="1648"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center"/>
              <w:spacing w:after="0" w:line="264" w:lineRule="auto"/>
            </w:pPr>
            <w:r>
              <w:rPr>
                <w:rFonts w:ascii="Arial" w:eastAsia="맑은 고딕" w:hAnsi="Arial"/>
                <w:b/>
                <w:bCs/>
                <w:sz w:val="18"/>
                <w:szCs w:val="18"/>
              </w:rPr>
              <w:t>지표</w:t>
            </w:r>
          </w:p>
        </w:tc>
        <w:tc>
          <w:tcPr>
            <w:tcW w:w="4394"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center"/>
              <w:spacing w:after="0" w:line="264" w:lineRule="auto"/>
            </w:pPr>
            <w:r>
              <w:rPr>
                <w:rFonts w:ascii="Arial" w:eastAsia="맑은 고딕" w:hAnsi="Arial"/>
                <w:b/>
                <w:bCs/>
                <w:sz w:val="18"/>
                <w:szCs w:val="18"/>
              </w:rPr>
              <w:t>재정주의단체</w:t>
            </w:r>
          </w:p>
        </w:tc>
        <w:tc>
          <w:tcPr>
            <w:tcW w:w="2746"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center"/>
              <w:spacing w:after="0" w:line="264" w:lineRule="auto"/>
            </w:pPr>
            <w:r>
              <w:rPr>
                <w:rFonts w:ascii="Arial" w:eastAsia="맑은 고딕" w:hAnsi="Arial"/>
                <w:b/>
                <w:bCs/>
                <w:sz w:val="18"/>
                <w:szCs w:val="18"/>
              </w:rPr>
              <w:t>재정위기단체</w:t>
            </w:r>
          </w:p>
        </w:tc>
      </w:tr>
      <w:tr>
        <w:trPr/>
        <w:tc>
          <w:tcPr>
            <w:tcW w:w="1648"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val="0"/>
                <w:bCs w:val="0"/>
                <w:sz w:val="18"/>
                <w:szCs w:val="18"/>
              </w:rPr>
              <w:t>통합재정수지비율</w:t>
            </w:r>
          </w:p>
        </w:tc>
        <w:tc>
          <w:tcPr>
            <w:tcW w:w="4394"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val="0"/>
                <w:bCs w:val="0"/>
                <w:sz w:val="18"/>
                <w:szCs w:val="18"/>
              </w:rPr>
              <w:t>음수이고 절대값 25% 초과 ~ 30% 이하</w:t>
            </w:r>
          </w:p>
        </w:tc>
        <w:tc>
          <w:tcPr>
            <w:tcW w:w="2746"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val="0"/>
                <w:bCs w:val="0"/>
                <w:sz w:val="18"/>
                <w:szCs w:val="18"/>
              </w:rPr>
              <w:t>음수이고 절대값 30% 초과</w:t>
            </w:r>
          </w:p>
        </w:tc>
      </w:tr>
      <w:tr>
        <w:trPr/>
        <w:tc>
          <w:tcPr>
            <w:tcW w:w="1648"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val="0"/>
                <w:bCs w:val="0"/>
                <w:sz w:val="18"/>
                <w:szCs w:val="18"/>
              </w:rPr>
              <w:t>예산대비 채무비율</w:t>
            </w:r>
          </w:p>
        </w:tc>
        <w:tc>
          <w:tcPr>
            <w:tcW w:w="4394"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val="0"/>
                <w:bCs w:val="0"/>
                <w:sz w:val="18"/>
                <w:szCs w:val="18"/>
              </w:rPr>
              <w:t>25% 초과 ~ 40% 이하</w:t>
            </w:r>
          </w:p>
        </w:tc>
        <w:tc>
          <w:tcPr>
            <w:tcW w:w="2746"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val="0"/>
                <w:bCs w:val="0"/>
                <w:sz w:val="18"/>
                <w:szCs w:val="18"/>
              </w:rPr>
              <w:t>40% 초과</w:t>
            </w:r>
          </w:p>
        </w:tc>
      </w:tr>
      <w:tr>
        <w:trPr/>
        <w:tc>
          <w:tcPr>
            <w:tcW w:w="1648"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val="0"/>
                <w:bCs w:val="0"/>
                <w:sz w:val="18"/>
                <w:szCs w:val="18"/>
              </w:rPr>
              <w:t>채무상환비 비율</w:t>
            </w:r>
          </w:p>
        </w:tc>
        <w:tc>
          <w:tcPr>
            <w:tcW w:w="4394"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val="0"/>
                <w:bCs w:val="0"/>
                <w:sz w:val="18"/>
                <w:szCs w:val="18"/>
              </w:rPr>
              <w:t>12% 초과 ~ 17% 이하</w:t>
            </w:r>
          </w:p>
        </w:tc>
        <w:tc>
          <w:tcPr>
            <w:tcW w:w="2746"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val="0"/>
                <w:bCs w:val="0"/>
                <w:sz w:val="18"/>
                <w:szCs w:val="18"/>
              </w:rPr>
              <w:t>17% 초과</w:t>
            </w:r>
          </w:p>
        </w:tc>
      </w:tr>
      <w:tr>
        <w:trPr/>
        <w:tc>
          <w:tcPr>
            <w:tcW w:w="1648"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val="0"/>
                <w:bCs w:val="0"/>
                <w:sz w:val="18"/>
                <w:szCs w:val="18"/>
              </w:rPr>
              <w:t>지방세징수액 비율</w:t>
            </w:r>
          </w:p>
        </w:tc>
        <w:tc>
          <w:tcPr>
            <w:tcW w:w="4394"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val="0"/>
                <w:bCs w:val="0"/>
                <w:sz w:val="18"/>
                <w:szCs w:val="18"/>
              </w:rPr>
              <w:t>70% 이상 ~ 80% 미만</w:t>
            </w:r>
          </w:p>
        </w:tc>
        <w:tc>
          <w:tcPr>
            <w:tcW w:w="2746"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val="0"/>
                <w:bCs w:val="0"/>
                <w:sz w:val="18"/>
                <w:szCs w:val="18"/>
              </w:rPr>
              <w:t>70% 미만</w:t>
            </w:r>
          </w:p>
        </w:tc>
      </w:tr>
      <w:tr>
        <w:trPr/>
        <w:tc>
          <w:tcPr>
            <w:tcW w:w="1648"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val="0"/>
                <w:bCs w:val="0"/>
                <w:sz w:val="18"/>
                <w:szCs w:val="18"/>
              </w:rPr>
              <w:t>금고잔액비율</w:t>
            </w:r>
          </w:p>
        </w:tc>
        <w:tc>
          <w:tcPr>
            <w:tcW w:w="4394"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val="0"/>
                <w:bCs w:val="0"/>
                <w:sz w:val="18"/>
                <w:szCs w:val="18"/>
              </w:rPr>
              <w:t>10% 이상 ~ 20% 미만</w:t>
            </w:r>
          </w:p>
        </w:tc>
        <w:tc>
          <w:tcPr>
            <w:tcW w:w="2746"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val="0"/>
                <w:bCs w:val="0"/>
                <w:sz w:val="18"/>
                <w:szCs w:val="18"/>
              </w:rPr>
              <w:t>10% 미만</w:t>
            </w:r>
          </w:p>
        </w:tc>
      </w:tr>
      <w:tr>
        <w:trPr/>
        <w:tc>
          <w:tcPr>
            <w:tcW w:w="1648"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val="0"/>
                <w:bCs w:val="0"/>
                <w:sz w:val="18"/>
                <w:szCs w:val="18"/>
              </w:rPr>
              <w:t>공기업 부채비율</w:t>
            </w:r>
          </w:p>
        </w:tc>
        <w:tc>
          <w:tcPr>
            <w:tcW w:w="4394"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val="0"/>
                <w:bCs w:val="0"/>
                <w:sz w:val="18"/>
                <w:szCs w:val="18"/>
              </w:rPr>
              <w:t>400% 초과 ~ 600% 이하</w:t>
            </w:r>
          </w:p>
        </w:tc>
        <w:tc>
          <w:tcPr>
            <w:tcW w:w="2746"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val="0"/>
                <w:bCs w:val="0"/>
                <w:sz w:val="18"/>
                <w:szCs w:val="18"/>
              </w:rPr>
              <w:t>600% 초과</w:t>
            </w:r>
          </w:p>
        </w:tc>
      </w:tr>
    </w:tbl>
    <w:p>
      <w:pPr>
        <w:spacing w:after="0"/>
      </w:pPr>
    </w:p>
    <w:p>
      <w:pPr>
        <w:jc w:val="left"/>
        <w:spacing w:after="120" w:before="0" w:line="384" w:lineRule="auto"/>
      </w:pPr>
      <w:r>
        <w:rPr>
          <w:rFonts w:ascii="Arial" w:eastAsia="맑은 고딕" w:hAnsi="Arial"/>
          <w:b w:val="0"/>
          <w:bCs w:val="0"/>
          <w:sz w:val="16"/>
          <w:szCs w:val="16"/>
        </w:rPr>
        <w:t>출처: 지방재정법(법률) 제55조의2, 지방재정법 시행령(대통령령) 제65조의3. 2026년 9월 3일 현행 조문 확인.</w:t>
      </w:r>
    </w:p>
    <w:p>
      <w:pPr>
        <w:ind w:firstLine="200"/>
        <w:jc w:val="both"/>
        <w:spacing w:after="60" w:before="0" w:line="384" w:lineRule="auto"/>
      </w:pPr>
      <w:r>
        <w:rPr>
          <w:rFonts w:ascii="Arial" w:eastAsia="맑은 고딕" w:hAnsi="Arial"/>
          <w:b w:val="0"/>
          <w:bCs w:val="0"/>
          <w:sz w:val="20"/>
          <w:szCs w:val="20"/>
        </w:rPr>
        <w:t>이 기준에 대전시의 실측치를 대 보면 다음과 같다.</w:t>
      </w:r>
    </w:p>
    <w:p>
      <w:pPr>
        <w:jc w:val="center"/>
        <w:spacing w:after="60" w:before="160" w:line="384" w:lineRule="auto"/>
      </w:pPr>
      <w:r>
        <w:rPr>
          <w:rFonts w:ascii="Arial" w:eastAsia="맑은 고딕" w:hAnsi="Arial"/>
          <w:b/>
          <w:bCs/>
          <w:sz w:val="20"/>
          <w:szCs w:val="20"/>
        </w:rPr>
        <w:t>&lt;표 7&gt; 대전시 재정지표 추이와 법정 기준 대비</w:t>
      </w:r>
    </w:p>
    <w:tbl>
      <w:tblPr>
        <w:tblW w:w="87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85"/>
        <w:gridCol w:w="1255"/>
        <w:gridCol w:w="1569"/>
        <w:gridCol w:w="2668"/>
        <w:gridCol w:w="1569"/>
        <w:gridCol w:w="942"/>
      </w:tblGrid>
      <w:tr>
        <w:trPr>
          <w:tblHeader/>
        </w:trPr>
        <w:tc>
          <w:tcPr>
            <w:tcW w:w="785"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center"/>
              <w:spacing w:after="0" w:line="264" w:lineRule="auto"/>
            </w:pPr>
            <w:r>
              <w:rPr>
                <w:rFonts w:ascii="Arial" w:eastAsia="맑은 고딕" w:hAnsi="Arial"/>
                <w:b/>
                <w:bCs/>
                <w:sz w:val="18"/>
                <w:szCs w:val="18"/>
              </w:rPr>
              <w:t>연도</w:t>
            </w:r>
          </w:p>
        </w:tc>
        <w:tc>
          <w:tcPr>
            <w:tcW w:w="1255"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center"/>
              <w:spacing w:after="0" w:line="264" w:lineRule="auto"/>
            </w:pPr>
            <w:r>
              <w:rPr>
                <w:rFonts w:ascii="Arial" w:eastAsia="맑은 고딕" w:hAnsi="Arial"/>
                <w:b/>
                <w:bCs/>
                <w:sz w:val="18"/>
                <w:szCs w:val="18"/>
              </w:rPr>
              <w:t>통합재정수지비율</w:t>
            </w:r>
          </w:p>
        </w:tc>
        <w:tc>
          <w:tcPr>
            <w:tcW w:w="1569"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center"/>
              <w:spacing w:after="0" w:line="264" w:lineRule="auto"/>
            </w:pPr>
            <w:r>
              <w:rPr>
                <w:rFonts w:ascii="Arial" w:eastAsia="맑은 고딕" w:hAnsi="Arial"/>
                <w:b/>
                <w:bCs/>
                <w:sz w:val="18"/>
                <w:szCs w:val="18"/>
              </w:rPr>
              <w:t>예산대비 채무비율</w:t>
            </w:r>
          </w:p>
        </w:tc>
        <w:tc>
          <w:tcPr>
            <w:tcW w:w="2668"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center"/>
              <w:spacing w:after="0" w:line="264" w:lineRule="auto"/>
            </w:pPr>
            <w:r>
              <w:rPr>
                <w:rFonts w:ascii="Arial" w:eastAsia="맑은 고딕" w:hAnsi="Arial"/>
                <w:b/>
                <w:bCs/>
                <w:sz w:val="18"/>
                <w:szCs w:val="18"/>
              </w:rPr>
              <w:t>공기업 부채비율</w:t>
            </w:r>
          </w:p>
        </w:tc>
        <w:tc>
          <w:tcPr>
            <w:tcW w:w="1569"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center"/>
              <w:spacing w:after="0" w:line="264" w:lineRule="auto"/>
            </w:pPr>
            <w:r>
              <w:rPr>
                <w:rFonts w:ascii="Arial" w:eastAsia="맑은 고딕" w:hAnsi="Arial"/>
                <w:b/>
                <w:bCs/>
                <w:sz w:val="18"/>
                <w:szCs w:val="18"/>
              </w:rPr>
              <w:t>보증채무비율</w:t>
            </w:r>
          </w:p>
        </w:tc>
        <w:tc>
          <w:tcPr>
            <w:tcW w:w="942"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center"/>
              <w:spacing w:after="0" w:line="264" w:lineRule="auto"/>
            </w:pPr>
            <w:r>
              <w:rPr>
                <w:rFonts w:ascii="Arial" w:eastAsia="맑은 고딕" w:hAnsi="Arial"/>
                <w:b/>
                <w:bCs/>
                <w:sz w:val="18"/>
                <w:szCs w:val="18"/>
              </w:rPr>
              <w:t>지방세징수율</w:t>
            </w:r>
          </w:p>
        </w:tc>
      </w:tr>
      <w:tr>
        <w:trPr/>
        <w:tc>
          <w:tcPr>
            <w:tcW w:w="785"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val="0"/>
                <w:bCs w:val="0"/>
                <w:sz w:val="18"/>
                <w:szCs w:val="18"/>
              </w:rPr>
              <w:t>2018</w:t>
            </w:r>
          </w:p>
        </w:tc>
        <w:tc>
          <w:tcPr>
            <w:tcW w:w="1255"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val="0"/>
                <w:bCs w:val="0"/>
                <w:sz w:val="18"/>
                <w:szCs w:val="18"/>
              </w:rPr>
              <w:t>+3.37%</w:t>
            </w:r>
          </w:p>
        </w:tc>
        <w:tc>
          <w:tcPr>
            <w:tcW w:w="1569"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val="0"/>
                <w:bCs w:val="0"/>
                <w:sz w:val="18"/>
                <w:szCs w:val="18"/>
              </w:rPr>
              <w:t>10.17%</w:t>
            </w:r>
          </w:p>
        </w:tc>
        <w:tc>
          <w:tcPr>
            <w:tcW w:w="2668"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val="0"/>
                <w:bCs w:val="0"/>
                <w:sz w:val="18"/>
                <w:szCs w:val="18"/>
              </w:rPr>
              <w:t>24.54%</w:t>
            </w:r>
          </w:p>
        </w:tc>
        <w:tc>
          <w:tcPr>
            <w:tcW w:w="1569"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val="0"/>
                <w:bCs w:val="0"/>
                <w:sz w:val="18"/>
                <w:szCs w:val="18"/>
              </w:rPr>
              <w:t>2.46%</w:t>
            </w:r>
          </w:p>
        </w:tc>
        <w:tc>
          <w:tcPr>
            <w:tcW w:w="942"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val="0"/>
                <w:bCs w:val="0"/>
                <w:sz w:val="18"/>
                <w:szCs w:val="18"/>
              </w:rPr>
              <w:t>96.2%</w:t>
            </w:r>
          </w:p>
        </w:tc>
      </w:tr>
      <w:tr>
        <w:trPr/>
        <w:tc>
          <w:tcPr>
            <w:tcW w:w="785"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val="0"/>
                <w:bCs w:val="0"/>
                <w:sz w:val="18"/>
                <w:szCs w:val="18"/>
              </w:rPr>
              <w:t>2019</w:t>
            </w:r>
          </w:p>
        </w:tc>
        <w:tc>
          <w:tcPr>
            <w:tcW w:w="1255"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val="0"/>
                <w:bCs w:val="0"/>
                <w:sz w:val="18"/>
                <w:szCs w:val="18"/>
              </w:rPr>
              <w:t>+4.12%</w:t>
            </w:r>
          </w:p>
        </w:tc>
        <w:tc>
          <w:tcPr>
            <w:tcW w:w="1569"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val="0"/>
                <w:bCs w:val="0"/>
                <w:sz w:val="18"/>
                <w:szCs w:val="18"/>
              </w:rPr>
              <w:t>8.83%</w:t>
            </w:r>
          </w:p>
        </w:tc>
        <w:tc>
          <w:tcPr>
            <w:tcW w:w="2668"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val="0"/>
                <w:bCs w:val="0"/>
                <w:sz w:val="18"/>
                <w:szCs w:val="18"/>
              </w:rPr>
              <w:t>22.84%</w:t>
            </w:r>
          </w:p>
        </w:tc>
        <w:tc>
          <w:tcPr>
            <w:tcW w:w="1569"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val="0"/>
                <w:bCs w:val="0"/>
                <w:sz w:val="18"/>
                <w:szCs w:val="18"/>
              </w:rPr>
              <w:t>2.18%</w:t>
            </w:r>
          </w:p>
        </w:tc>
        <w:tc>
          <w:tcPr>
            <w:tcW w:w="942"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val="0"/>
                <w:bCs w:val="0"/>
                <w:sz w:val="18"/>
                <w:szCs w:val="18"/>
              </w:rPr>
              <w:t>96.8%</w:t>
            </w:r>
          </w:p>
        </w:tc>
      </w:tr>
      <w:tr>
        <w:trPr/>
        <w:tc>
          <w:tcPr>
            <w:tcW w:w="785"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val="0"/>
                <w:bCs w:val="0"/>
                <w:sz w:val="18"/>
                <w:szCs w:val="18"/>
              </w:rPr>
              <w:t>2020</w:t>
            </w:r>
          </w:p>
        </w:tc>
        <w:tc>
          <w:tcPr>
            <w:tcW w:w="1255"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val="0"/>
                <w:bCs w:val="0"/>
                <w:sz w:val="18"/>
                <w:szCs w:val="18"/>
              </w:rPr>
              <w:t>△6.09%</w:t>
            </w:r>
          </w:p>
        </w:tc>
        <w:tc>
          <w:tcPr>
            <w:tcW w:w="1569"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val="0"/>
                <w:bCs w:val="0"/>
                <w:sz w:val="18"/>
                <w:szCs w:val="18"/>
              </w:rPr>
              <w:t>10.39%</w:t>
            </w:r>
          </w:p>
        </w:tc>
        <w:tc>
          <w:tcPr>
            <w:tcW w:w="2668"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val="0"/>
                <w:bCs w:val="0"/>
                <w:sz w:val="18"/>
                <w:szCs w:val="18"/>
              </w:rPr>
              <w:t>24.51%</w:t>
            </w:r>
          </w:p>
        </w:tc>
        <w:tc>
          <w:tcPr>
            <w:tcW w:w="1569"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val="0"/>
                <w:bCs w:val="0"/>
                <w:sz w:val="18"/>
                <w:szCs w:val="18"/>
              </w:rPr>
              <w:t>1.85%</w:t>
            </w:r>
          </w:p>
        </w:tc>
        <w:tc>
          <w:tcPr>
            <w:tcW w:w="942"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val="0"/>
                <w:bCs w:val="0"/>
                <w:sz w:val="18"/>
                <w:szCs w:val="18"/>
              </w:rPr>
              <w:t>97.1%</w:t>
            </w:r>
          </w:p>
        </w:tc>
      </w:tr>
      <w:tr>
        <w:trPr/>
        <w:tc>
          <w:tcPr>
            <w:tcW w:w="785"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val="0"/>
                <w:bCs w:val="0"/>
                <w:sz w:val="18"/>
                <w:szCs w:val="18"/>
              </w:rPr>
              <w:t>2021</w:t>
            </w:r>
          </w:p>
        </w:tc>
        <w:tc>
          <w:tcPr>
            <w:tcW w:w="1255"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val="0"/>
                <w:bCs w:val="0"/>
                <w:sz w:val="18"/>
                <w:szCs w:val="18"/>
              </w:rPr>
              <w:t>△2.35%</w:t>
            </w:r>
          </w:p>
        </w:tc>
        <w:tc>
          <w:tcPr>
            <w:tcW w:w="1569"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val="0"/>
                <w:bCs w:val="0"/>
                <w:sz w:val="18"/>
                <w:szCs w:val="18"/>
              </w:rPr>
              <w:t>10.45%</w:t>
            </w:r>
          </w:p>
        </w:tc>
        <w:tc>
          <w:tcPr>
            <w:tcW w:w="2668"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val="0"/>
                <w:bCs w:val="0"/>
                <w:sz w:val="18"/>
                <w:szCs w:val="18"/>
              </w:rPr>
              <w:t>확인 불가</w:t>
            </w:r>
          </w:p>
        </w:tc>
        <w:tc>
          <w:tcPr>
            <w:tcW w:w="1569"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val="0"/>
                <w:bCs w:val="0"/>
                <w:sz w:val="18"/>
                <w:szCs w:val="18"/>
              </w:rPr>
              <w:t>1.77%</w:t>
            </w:r>
          </w:p>
        </w:tc>
        <w:tc>
          <w:tcPr>
            <w:tcW w:w="942"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val="0"/>
                <w:bCs w:val="0"/>
                <w:sz w:val="18"/>
                <w:szCs w:val="18"/>
              </w:rPr>
              <w:t>97.3%</w:t>
            </w:r>
          </w:p>
        </w:tc>
      </w:tr>
      <w:tr>
        <w:trPr/>
        <w:tc>
          <w:tcPr>
            <w:tcW w:w="785"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val="0"/>
                <w:bCs w:val="0"/>
                <w:sz w:val="18"/>
                <w:szCs w:val="18"/>
              </w:rPr>
              <w:t>2022</w:t>
            </w:r>
          </w:p>
        </w:tc>
        <w:tc>
          <w:tcPr>
            <w:tcW w:w="1255"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val="0"/>
                <w:bCs w:val="0"/>
                <w:sz w:val="18"/>
                <w:szCs w:val="18"/>
              </w:rPr>
              <w:t>+2.00%</w:t>
            </w:r>
          </w:p>
        </w:tc>
        <w:tc>
          <w:tcPr>
            <w:tcW w:w="1569"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val="0"/>
                <w:bCs w:val="0"/>
                <w:sz w:val="18"/>
                <w:szCs w:val="18"/>
              </w:rPr>
              <w:t>12.08%</w:t>
            </w:r>
          </w:p>
        </w:tc>
        <w:tc>
          <w:tcPr>
            <w:tcW w:w="2668"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val="0"/>
                <w:bCs w:val="0"/>
                <w:sz w:val="18"/>
                <w:szCs w:val="18"/>
              </w:rPr>
              <w:t>23.86%</w:t>
            </w:r>
          </w:p>
        </w:tc>
        <w:tc>
          <w:tcPr>
            <w:tcW w:w="1569"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val="0"/>
                <w:bCs w:val="0"/>
                <w:sz w:val="18"/>
                <w:szCs w:val="18"/>
              </w:rPr>
              <w:t>1.70%</w:t>
            </w:r>
          </w:p>
        </w:tc>
        <w:tc>
          <w:tcPr>
            <w:tcW w:w="942"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val="0"/>
                <w:bCs w:val="0"/>
                <w:sz w:val="18"/>
                <w:szCs w:val="18"/>
              </w:rPr>
              <w:t>96.8%</w:t>
            </w:r>
          </w:p>
        </w:tc>
      </w:tr>
      <w:tr>
        <w:trPr/>
        <w:tc>
          <w:tcPr>
            <w:tcW w:w="785"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val="0"/>
                <w:bCs w:val="0"/>
                <w:sz w:val="18"/>
                <w:szCs w:val="18"/>
              </w:rPr>
              <w:t>2023</w:t>
            </w:r>
          </w:p>
        </w:tc>
        <w:tc>
          <w:tcPr>
            <w:tcW w:w="1255"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val="0"/>
                <w:bCs w:val="0"/>
                <w:sz w:val="18"/>
                <w:szCs w:val="18"/>
              </w:rPr>
              <w:t>△3.62%</w:t>
            </w:r>
          </w:p>
        </w:tc>
        <w:tc>
          <w:tcPr>
            <w:tcW w:w="1569"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val="0"/>
                <w:bCs w:val="0"/>
                <w:sz w:val="18"/>
                <w:szCs w:val="18"/>
              </w:rPr>
              <w:t>15.65%</w:t>
            </w:r>
          </w:p>
        </w:tc>
        <w:tc>
          <w:tcPr>
            <w:tcW w:w="2668"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val="0"/>
                <w:bCs w:val="0"/>
                <w:sz w:val="18"/>
                <w:szCs w:val="18"/>
              </w:rPr>
              <w:t>확인 불가</w:t>
            </w:r>
          </w:p>
        </w:tc>
        <w:tc>
          <w:tcPr>
            <w:tcW w:w="1569"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val="0"/>
                <w:bCs w:val="0"/>
                <w:sz w:val="18"/>
                <w:szCs w:val="18"/>
              </w:rPr>
              <w:t>1.79%</w:t>
            </w:r>
          </w:p>
        </w:tc>
        <w:tc>
          <w:tcPr>
            <w:tcW w:w="942"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val="0"/>
                <w:bCs w:val="0"/>
                <w:sz w:val="18"/>
                <w:szCs w:val="18"/>
              </w:rPr>
              <w:t>95.9%</w:t>
            </w:r>
          </w:p>
        </w:tc>
      </w:tr>
      <w:tr>
        <w:trPr/>
        <w:tc>
          <w:tcPr>
            <w:tcW w:w="785"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val="0"/>
                <w:bCs w:val="0"/>
                <w:sz w:val="18"/>
                <w:szCs w:val="18"/>
              </w:rPr>
              <w:t>2024</w:t>
            </w:r>
          </w:p>
        </w:tc>
        <w:tc>
          <w:tcPr>
            <w:tcW w:w="1255"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val="0"/>
                <w:bCs w:val="0"/>
                <w:sz w:val="18"/>
                <w:szCs w:val="18"/>
              </w:rPr>
              <w:t>△5.51%</w:t>
            </w:r>
          </w:p>
        </w:tc>
        <w:tc>
          <w:tcPr>
            <w:tcW w:w="1569"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bCs/>
                <w:sz w:val="18"/>
                <w:szCs w:val="18"/>
              </w:rPr>
              <w:t>17.50%</w:t>
            </w:r>
          </w:p>
        </w:tc>
        <w:tc>
          <w:tcPr>
            <w:tcW w:w="2668"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val="0"/>
                <w:bCs w:val="0"/>
                <w:sz w:val="18"/>
                <w:szCs w:val="18"/>
              </w:rPr>
              <w:t>20.64%</w:t>
            </w:r>
          </w:p>
        </w:tc>
        <w:tc>
          <w:tcPr>
            <w:tcW w:w="1569"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val="0"/>
                <w:bCs w:val="0"/>
                <w:sz w:val="18"/>
                <w:szCs w:val="18"/>
              </w:rPr>
              <w:t>1.66%</w:t>
            </w:r>
          </w:p>
        </w:tc>
        <w:tc>
          <w:tcPr>
            <w:tcW w:w="942"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val="0"/>
                <w:bCs w:val="0"/>
                <w:sz w:val="18"/>
                <w:szCs w:val="18"/>
              </w:rPr>
              <w:t>95.6%</w:t>
            </w:r>
          </w:p>
        </w:tc>
      </w:tr>
      <w:tr>
        <w:trPr/>
        <w:tc>
          <w:tcPr>
            <w:tcW w:w="785"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val="0"/>
                <w:bCs w:val="0"/>
                <w:sz w:val="18"/>
                <w:szCs w:val="18"/>
              </w:rPr>
              <w:t>2025</w:t>
            </w:r>
          </w:p>
        </w:tc>
        <w:tc>
          <w:tcPr>
            <w:tcW w:w="1255"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val="0"/>
                <w:bCs w:val="0"/>
                <w:sz w:val="18"/>
                <w:szCs w:val="18"/>
              </w:rPr>
              <w:t>산출 보류</w:t>
            </w:r>
          </w:p>
        </w:tc>
        <w:tc>
          <w:tcPr>
            <w:tcW w:w="1569"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bCs/>
                <w:sz w:val="18"/>
                <w:szCs w:val="18"/>
              </w:rPr>
              <w:t>18.5%</w:t>
            </w:r>
            <w:r>
              <w:rPr>
                <w:rFonts w:ascii="Arial" w:eastAsia="맑은 고딕" w:hAnsi="Arial"/>
                <w:b w:val="0"/>
                <w:bCs w:val="0"/>
                <w:sz w:val="18"/>
                <w:szCs w:val="18"/>
              </w:rPr>
              <w:t xml:space="preserve"> [추정]</w:t>
            </w:r>
          </w:p>
        </w:tc>
        <w:tc>
          <w:tcPr>
            <w:tcW w:w="2668"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bCs/>
                <w:sz w:val="18"/>
                <w:szCs w:val="18"/>
              </w:rPr>
              <w:t>47.0%</w:t>
            </w:r>
            <w:r>
              <w:rPr>
                <w:rFonts w:ascii="Arial" w:eastAsia="맑은 고딕" w:hAnsi="Arial"/>
                <w:b w:val="0"/>
                <w:bCs w:val="0"/>
                <w:sz w:val="18"/>
                <w:szCs w:val="18"/>
              </w:rPr>
              <w:t xml:space="preserve"> [추정·모집단 상이]</w:t>
            </w:r>
          </w:p>
        </w:tc>
        <w:tc>
          <w:tcPr>
            <w:tcW w:w="1569"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bCs/>
                <w:sz w:val="18"/>
                <w:szCs w:val="18"/>
              </w:rPr>
              <w:t>1.46%</w:t>
            </w:r>
            <w:r>
              <w:rPr>
                <w:rFonts w:ascii="Arial" w:eastAsia="맑은 고딕" w:hAnsi="Arial"/>
                <w:b w:val="0"/>
                <w:bCs w:val="0"/>
                <w:sz w:val="18"/>
                <w:szCs w:val="18"/>
              </w:rPr>
              <w:t xml:space="preserve"> [추정]</w:t>
            </w:r>
          </w:p>
        </w:tc>
        <w:tc>
          <w:tcPr>
            <w:tcW w:w="942"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val="0"/>
                <w:bCs w:val="0"/>
                <w:sz w:val="18"/>
                <w:szCs w:val="18"/>
              </w:rPr>
              <w:t>산출 보류</w:t>
            </w:r>
          </w:p>
        </w:tc>
      </w:tr>
      <w:tr>
        <w:trPr/>
        <w:tc>
          <w:tcPr>
            <w:tcW w:w="785"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bCs/>
                <w:sz w:val="18"/>
                <w:szCs w:val="18"/>
              </w:rPr>
              <w:t>주의 기준</w:t>
            </w:r>
          </w:p>
        </w:tc>
        <w:tc>
          <w:tcPr>
            <w:tcW w:w="1255"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bCs/>
                <w:sz w:val="18"/>
                <w:szCs w:val="18"/>
              </w:rPr>
              <w:t>△25% 초과</w:t>
            </w:r>
          </w:p>
        </w:tc>
        <w:tc>
          <w:tcPr>
            <w:tcW w:w="1569"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bCs/>
                <w:sz w:val="18"/>
                <w:szCs w:val="18"/>
              </w:rPr>
              <w:t>25% 초과</w:t>
            </w:r>
          </w:p>
        </w:tc>
        <w:tc>
          <w:tcPr>
            <w:tcW w:w="2668"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bCs/>
                <w:sz w:val="18"/>
                <w:szCs w:val="18"/>
              </w:rPr>
              <w:t>400% 초과</w:t>
            </w:r>
          </w:p>
        </w:tc>
        <w:tc>
          <w:tcPr>
            <w:tcW w:w="1569"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val="0"/>
                <w:bCs w:val="0"/>
                <w:sz w:val="18"/>
                <w:szCs w:val="18"/>
              </w:rPr>
              <w:t>–</w:t>
            </w:r>
          </w:p>
        </w:tc>
        <w:tc>
          <w:tcPr>
            <w:tcW w:w="942"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bCs/>
                <w:sz w:val="18"/>
                <w:szCs w:val="18"/>
              </w:rPr>
              <w:t>80% 미만</w:t>
            </w:r>
          </w:p>
        </w:tc>
      </w:tr>
    </w:tbl>
    <w:p>
      <w:pPr>
        <w:spacing w:after="0"/>
      </w:pPr>
    </w:p>
    <w:p>
      <w:pPr>
        <w:jc w:val="left"/>
        <w:spacing w:after="120" w:before="0" w:line="384" w:lineRule="auto"/>
      </w:pPr>
      <w:r>
        <w:rPr>
          <w:rFonts w:ascii="Arial" w:eastAsia="맑은 고딕" w:hAnsi="Arial"/>
          <w:b w:val="0"/>
          <w:bCs w:val="0"/>
          <w:sz w:val="16"/>
          <w:szCs w:val="16"/>
        </w:rPr>
        <w:t>출처: 2018~2024년은 지방재정365 공시지표(통합재정수지비율결산·예산대비채무비율·지방공기업부채비율·보증채무비율·시도별징수율), 대전본청 기준. 2025년은 아직 공시되지 않아 각 지표의 공시 산식을 2024년 이전 공시값에서 역산해 확정한 뒤 2025년 결산 수치에 적용한 추정치다.</w:t>
      </w:r>
    </w:p>
    <w:p>
      <w:pPr>
        <w:ind w:firstLine="200"/>
        <w:jc w:val="both"/>
        <w:spacing w:after="60" w:before="0" w:line="384" w:lineRule="auto"/>
      </w:pPr>
      <w:r>
        <w:rPr>
          <w:rFonts w:ascii="Arial" w:eastAsia="맑은 고딕" w:hAnsi="Arial"/>
          <w:b w:val="0"/>
          <w:bCs w:val="0"/>
          <w:sz w:val="20"/>
          <w:szCs w:val="20"/>
        </w:rPr>
        <w:t>주 1) 예산대비 채무비율: 공시 산식의 분모는 기금을 포함한 전체회계 예산현액 총계임을 2022~2024년 값에서 확인했다(오차 0.2~0.6%). 2025년은 채무 1조 5,864억 원 ÷ 8조 5,866억 원 = 18.5%다.</w:t>
      </w:r>
    </w:p>
    <w:p>
      <w:pPr>
        <w:ind w:firstLine="200"/>
        <w:jc w:val="both"/>
        <w:spacing w:after="60" w:before="0" w:line="384" w:lineRule="auto"/>
      </w:pPr>
      <w:r>
        <w:rPr>
          <w:rFonts w:ascii="Arial" w:eastAsia="맑은 고딕" w:hAnsi="Arial"/>
          <w:b w:val="0"/>
          <w:bCs w:val="0"/>
          <w:sz w:val="20"/>
          <w:szCs w:val="20"/>
        </w:rPr>
        <w:t xml:space="preserve">주 2) 통합재정수지비율: 이 지표는 결산서에 원표가 없고 행정안전부가 별도 산식으로 산출해 공시한다. 우리가 결산서 재원별 결산액으로 같은 산식을 재구성해 보았으나, </w:t>
      </w:r>
      <w:r>
        <w:rPr>
          <w:rFonts w:ascii="Arial" w:eastAsia="맑은 고딕" w:hAnsi="Arial"/>
          <w:b/>
          <w:bCs/>
          <w:sz w:val="20"/>
          <w:szCs w:val="20"/>
        </w:rPr>
        <w:t>2024년 공시값(△5.51%)을 재현하지 못했다</w:t>
      </w:r>
      <w:r>
        <w:rPr>
          <w:rFonts w:ascii="Arial" w:eastAsia="맑은 고딕" w:hAnsi="Arial"/>
          <w:b w:val="0"/>
          <w:bCs w:val="0"/>
          <w:sz w:val="20"/>
          <w:szCs w:val="20"/>
        </w:rPr>
        <w:t xml:space="preserve">(재구성 결과 △5.19%, 지출 항목에서 217억 원 차이). 산식이 확정되지 않은 상태에서 2025년 값을 제시하는 것은 적절하지 않다고 판단해 </w:t>
      </w:r>
      <w:r>
        <w:rPr>
          <w:rFonts w:ascii="Arial" w:eastAsia="맑은 고딕" w:hAnsi="Arial"/>
          <w:b/>
          <w:bCs/>
          <w:sz w:val="20"/>
          <w:szCs w:val="20"/>
        </w:rPr>
        <w:t>산출을 보류했다.</w:t>
      </w:r>
      <w:r>
        <w:rPr>
          <w:rFonts w:ascii="Arial" w:eastAsia="맑은 고딕" w:hAnsi="Arial"/>
          <w:b w:val="0"/>
          <w:bCs w:val="0"/>
          <w:sz w:val="20"/>
          <w:szCs w:val="20"/>
        </w:rPr>
        <w:t xml:space="preserve"> 2025년 값은 지방재정365 공시 후 확인해야 한다. 참고로 2024년 공시값 △5.51%는 주의 기준(△25% 초과)의 5분의 1 수준이다.</w:t>
      </w:r>
    </w:p>
    <w:p>
      <w:pPr>
        <w:ind w:firstLine="200"/>
        <w:jc w:val="both"/>
        <w:spacing w:after="60" w:before="0" w:line="384" w:lineRule="auto"/>
      </w:pPr>
      <w:r>
        <w:rPr>
          <w:rFonts w:ascii="Arial" w:eastAsia="맑은 고딕" w:hAnsi="Arial"/>
          <w:b w:val="0"/>
          <w:bCs w:val="0"/>
          <w:sz w:val="20"/>
          <w:szCs w:val="20"/>
        </w:rPr>
        <w:t>주 3) 공기업 부채비율: 공시 산식은 부채÷자기자본이다. 다만 공시 계열의 대상 기관 범위가 결산서 지역통합재정통계(공사 3곳·공단 1곳)보다 넓어(2024년 공시 부채 7,466억 vs 결산서 4곳 5,708억), 결산서 기준으로 계산한 47.0%는 앞 연도와 이어서 볼 수 없다. 어느 기준이든 주의 기준 400%에는 크게 미달한다.</w:t>
      </w:r>
    </w:p>
    <w:p>
      <w:pPr>
        <w:ind w:firstLine="200"/>
        <w:jc w:val="both"/>
        <w:spacing w:after="60" w:before="0" w:line="384" w:lineRule="auto"/>
      </w:pPr>
      <w:r>
        <w:rPr>
          <w:rFonts w:ascii="Arial" w:eastAsia="맑은 고딕" w:hAnsi="Arial"/>
          <w:b w:val="0"/>
          <w:bCs w:val="0"/>
          <w:sz w:val="20"/>
          <w:szCs w:val="20"/>
        </w:rPr>
        <w:t xml:space="preserve">주 4) 지방세징수율: 공시 계열은 대전광역시 전체(본청+5개 자치구) 기준이다. 2025년 값을 산출하려면 징수결정액이 필요하고 그 구성 요소인 정리보류액·미수납액을 지방세 항목만으로 분해해야 하는데, </w:t>
      </w:r>
      <w:r>
        <w:rPr>
          <w:rFonts w:ascii="Arial" w:eastAsia="맑은 고딕" w:hAnsi="Arial"/>
          <w:b/>
          <w:bCs/>
          <w:sz w:val="20"/>
          <w:szCs w:val="20"/>
        </w:rPr>
        <w:t>그 분해표를 우리가 확보한 자료에서 찾지 못해 산출을 보류했다.</w:t>
      </w:r>
      <w:r>
        <w:rPr>
          <w:rFonts w:ascii="Arial" w:eastAsia="맑은 고딕" w:hAnsi="Arial"/>
          <w:b w:val="0"/>
          <w:bCs w:val="0"/>
          <w:sz w:val="20"/>
          <w:szCs w:val="20"/>
        </w:rPr>
        <w:t xml:space="preserve"> 2024년 공시값 95.6%는 주의 기준(80% 미만)을 크게 상회한다.</w:t>
      </w:r>
    </w:p>
    <w:p>
      <w:pPr>
        <w:ind w:firstLine="200"/>
        <w:jc w:val="both"/>
        <w:spacing w:after="60" w:before="0" w:line="384" w:lineRule="auto"/>
      </w:pPr>
      <w:r>
        <w:rPr>
          <w:rFonts w:ascii="Arial" w:eastAsia="맑은 고딕" w:hAnsi="Arial"/>
          <w:b w:val="0"/>
          <w:bCs w:val="0"/>
          <w:sz w:val="20"/>
          <w:szCs w:val="20"/>
        </w:rPr>
        <w:t>주 5) 보증채무: 2025년 말 잔액 1,249.7억 원은 결산서 첨부서류 「(10) 보증채무 현재액」(인쇄 169쪽)에서 원문 확인했다. 전년 말 1,309.7억 원.</w:t>
      </w:r>
    </w:p>
    <w:p>
      <w:pPr>
        <w:ind w:firstLine="200"/>
        <w:jc w:val="both"/>
        <w:spacing w:after="60" w:before="0" w:line="384" w:lineRule="auto"/>
      </w:pPr>
      <w:r>
        <w:rPr>
          <w:rFonts w:ascii="Arial" w:eastAsia="맑은 고딕" w:hAnsi="Arial"/>
          <w:b w:val="0"/>
          <w:bCs w:val="0"/>
          <w:sz w:val="20"/>
          <w:szCs w:val="20"/>
        </w:rPr>
        <w:t>여섯 개 법정 지표를 2025년 기준으로 모으면 다음과 같다.</w:t>
      </w:r>
    </w:p>
    <w:p>
      <w:pPr>
        <w:jc w:val="center"/>
        <w:spacing w:after="60" w:before="160" w:line="384" w:lineRule="auto"/>
      </w:pPr>
      <w:r>
        <w:rPr>
          <w:rFonts w:ascii="Arial" w:eastAsia="맑은 고딕" w:hAnsi="Arial"/>
          <w:b/>
          <w:bCs/>
          <w:sz w:val="20"/>
          <w:szCs w:val="20"/>
        </w:rPr>
        <w:t>&lt;표 8&gt; 2025년 법정 지표 추정치와 기준 대비</w:t>
      </w:r>
    </w:p>
    <w:tbl>
      <w:tblPr>
        <w:tblW w:w="87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17"/>
        <w:gridCol w:w="2028"/>
        <w:gridCol w:w="946"/>
        <w:gridCol w:w="946"/>
        <w:gridCol w:w="3651"/>
      </w:tblGrid>
      <w:tr>
        <w:trPr>
          <w:tblHeader/>
        </w:trPr>
        <w:tc>
          <w:tcPr>
            <w:tcW w:w="1217"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center"/>
              <w:spacing w:after="0" w:line="264" w:lineRule="auto"/>
            </w:pPr>
            <w:r>
              <w:rPr>
                <w:rFonts w:ascii="Arial" w:eastAsia="맑은 고딕" w:hAnsi="Arial"/>
                <w:b/>
                <w:bCs/>
                <w:sz w:val="18"/>
                <w:szCs w:val="18"/>
              </w:rPr>
              <w:t>법정 지표</w:t>
            </w:r>
          </w:p>
        </w:tc>
        <w:tc>
          <w:tcPr>
            <w:tcW w:w="2028"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center"/>
              <w:spacing w:after="0" w:line="264" w:lineRule="auto"/>
            </w:pPr>
            <w:r>
              <w:rPr>
                <w:rFonts w:ascii="Arial" w:eastAsia="맑은 고딕" w:hAnsi="Arial"/>
                <w:b/>
                <w:bCs/>
                <w:sz w:val="18"/>
                <w:szCs w:val="18"/>
              </w:rPr>
              <w:t>2025년 [추정]</w:t>
            </w:r>
          </w:p>
        </w:tc>
        <w:tc>
          <w:tcPr>
            <w:tcW w:w="946"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center"/>
              <w:spacing w:after="0" w:line="264" w:lineRule="auto"/>
            </w:pPr>
            <w:r>
              <w:rPr>
                <w:rFonts w:ascii="Arial" w:eastAsia="맑은 고딕" w:hAnsi="Arial"/>
                <w:b/>
                <w:bCs/>
                <w:sz w:val="18"/>
                <w:szCs w:val="18"/>
              </w:rPr>
              <w:t>주의 기준</w:t>
            </w:r>
          </w:p>
        </w:tc>
        <w:tc>
          <w:tcPr>
            <w:tcW w:w="946"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center"/>
              <w:spacing w:after="0" w:line="264" w:lineRule="auto"/>
            </w:pPr>
            <w:r>
              <w:rPr>
                <w:rFonts w:ascii="Arial" w:eastAsia="맑은 고딕" w:hAnsi="Arial"/>
                <w:b/>
                <w:bCs/>
                <w:sz w:val="18"/>
                <w:szCs w:val="18"/>
              </w:rPr>
              <w:t>위기 기준</w:t>
            </w:r>
          </w:p>
        </w:tc>
        <w:tc>
          <w:tcPr>
            <w:tcW w:w="3651"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center"/>
              <w:spacing w:after="0" w:line="264" w:lineRule="auto"/>
            </w:pPr>
            <w:r>
              <w:rPr>
                <w:rFonts w:ascii="Arial" w:eastAsia="맑은 고딕" w:hAnsi="Arial"/>
                <w:b/>
                <w:bCs/>
                <w:sz w:val="18"/>
                <w:szCs w:val="18"/>
              </w:rPr>
              <w:t>기준 대비</w:t>
            </w:r>
          </w:p>
        </w:tc>
      </w:tr>
      <w:tr>
        <w:trPr/>
        <w:tc>
          <w:tcPr>
            <w:tcW w:w="1217"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val="0"/>
                <w:bCs w:val="0"/>
                <w:sz w:val="18"/>
                <w:szCs w:val="18"/>
              </w:rPr>
              <w:t>통합재정수지비율</w:t>
            </w:r>
          </w:p>
        </w:tc>
        <w:tc>
          <w:tcPr>
            <w:tcW w:w="2028"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val="0"/>
                <w:bCs w:val="0"/>
                <w:sz w:val="18"/>
                <w:szCs w:val="18"/>
              </w:rPr>
              <w:t>산출 보류(공시 전)</w:t>
            </w:r>
          </w:p>
        </w:tc>
        <w:tc>
          <w:tcPr>
            <w:tcW w:w="946"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val="0"/>
                <w:bCs w:val="0"/>
                <w:sz w:val="18"/>
                <w:szCs w:val="18"/>
              </w:rPr>
              <w:t>△25% 초과</w:t>
            </w:r>
          </w:p>
        </w:tc>
        <w:tc>
          <w:tcPr>
            <w:tcW w:w="946"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val="0"/>
                <w:bCs w:val="0"/>
                <w:sz w:val="18"/>
                <w:szCs w:val="18"/>
              </w:rPr>
              <w:t>△30% 초과</w:t>
            </w:r>
          </w:p>
        </w:tc>
        <w:tc>
          <w:tcPr>
            <w:tcW w:w="3651"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val="0"/>
                <w:bCs w:val="0"/>
                <w:sz w:val="18"/>
                <w:szCs w:val="18"/>
              </w:rPr>
              <w:t>2024년 공시값 △5.51%은 기준의 5분의 1</w:t>
            </w:r>
          </w:p>
        </w:tc>
      </w:tr>
      <w:tr>
        <w:trPr/>
        <w:tc>
          <w:tcPr>
            <w:tcW w:w="1217"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val="0"/>
                <w:bCs w:val="0"/>
                <w:sz w:val="18"/>
                <w:szCs w:val="18"/>
              </w:rPr>
              <w:t>예산대비 채무비율</w:t>
            </w:r>
          </w:p>
        </w:tc>
        <w:tc>
          <w:tcPr>
            <w:tcW w:w="2028"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val="0"/>
                <w:bCs w:val="0"/>
                <w:sz w:val="18"/>
                <w:szCs w:val="18"/>
              </w:rPr>
              <w:t>18.5%</w:t>
            </w:r>
          </w:p>
        </w:tc>
        <w:tc>
          <w:tcPr>
            <w:tcW w:w="946"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val="0"/>
                <w:bCs w:val="0"/>
                <w:sz w:val="18"/>
                <w:szCs w:val="18"/>
              </w:rPr>
              <w:t>25% 초과</w:t>
            </w:r>
          </w:p>
        </w:tc>
        <w:tc>
          <w:tcPr>
            <w:tcW w:w="946"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val="0"/>
                <w:bCs w:val="0"/>
                <w:sz w:val="18"/>
                <w:szCs w:val="18"/>
              </w:rPr>
              <w:t>40% 초과</w:t>
            </w:r>
          </w:p>
        </w:tc>
        <w:tc>
          <w:tcPr>
            <w:tcW w:w="3651"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val="0"/>
                <w:bCs w:val="0"/>
                <w:sz w:val="18"/>
                <w:szCs w:val="18"/>
              </w:rPr>
              <w:t>주의 기준까지 6.5%p</w:t>
            </w:r>
          </w:p>
        </w:tc>
      </w:tr>
      <w:tr>
        <w:trPr/>
        <w:tc>
          <w:tcPr>
            <w:tcW w:w="1217"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val="0"/>
                <w:bCs w:val="0"/>
                <w:sz w:val="18"/>
                <w:szCs w:val="18"/>
              </w:rPr>
              <w:t>채무상환비 비율</w:t>
            </w:r>
          </w:p>
        </w:tc>
        <w:tc>
          <w:tcPr>
            <w:tcW w:w="2028"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val="0"/>
                <w:bCs w:val="0"/>
                <w:sz w:val="18"/>
                <w:szCs w:val="18"/>
              </w:rPr>
              <w:t>약 4.6~4.8%</w:t>
            </w:r>
          </w:p>
        </w:tc>
        <w:tc>
          <w:tcPr>
            <w:tcW w:w="946"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val="0"/>
                <w:bCs w:val="0"/>
                <w:sz w:val="18"/>
                <w:szCs w:val="18"/>
              </w:rPr>
              <w:t>12% 초과</w:t>
            </w:r>
          </w:p>
        </w:tc>
        <w:tc>
          <w:tcPr>
            <w:tcW w:w="946"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val="0"/>
                <w:bCs w:val="0"/>
                <w:sz w:val="18"/>
                <w:szCs w:val="18"/>
              </w:rPr>
              <w:t>17% 초과</w:t>
            </w:r>
          </w:p>
        </w:tc>
        <w:tc>
          <w:tcPr>
            <w:tcW w:w="3651"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val="0"/>
                <w:bCs w:val="0"/>
                <w:sz w:val="18"/>
                <w:szCs w:val="18"/>
              </w:rPr>
              <w:t>기준의 약 5분의 2</w:t>
            </w:r>
          </w:p>
        </w:tc>
      </w:tr>
      <w:tr>
        <w:trPr/>
        <w:tc>
          <w:tcPr>
            <w:tcW w:w="1217"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val="0"/>
                <w:bCs w:val="0"/>
                <w:sz w:val="18"/>
                <w:szCs w:val="18"/>
              </w:rPr>
              <w:t>지방세징수액 비율</w:t>
            </w:r>
          </w:p>
        </w:tc>
        <w:tc>
          <w:tcPr>
            <w:tcW w:w="2028"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val="0"/>
                <w:bCs w:val="0"/>
                <w:sz w:val="18"/>
                <w:szCs w:val="18"/>
              </w:rPr>
              <w:t>산출 보류(분모 자료 부재)</w:t>
            </w:r>
          </w:p>
        </w:tc>
        <w:tc>
          <w:tcPr>
            <w:tcW w:w="946"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val="0"/>
                <w:bCs w:val="0"/>
                <w:sz w:val="18"/>
                <w:szCs w:val="18"/>
              </w:rPr>
              <w:t>80% 미만</w:t>
            </w:r>
          </w:p>
        </w:tc>
        <w:tc>
          <w:tcPr>
            <w:tcW w:w="946"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val="0"/>
                <w:bCs w:val="0"/>
                <w:sz w:val="18"/>
                <w:szCs w:val="18"/>
              </w:rPr>
              <w:t>70% 미만</w:t>
            </w:r>
          </w:p>
        </w:tc>
        <w:tc>
          <w:tcPr>
            <w:tcW w:w="3651"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val="0"/>
                <w:bCs w:val="0"/>
                <w:sz w:val="18"/>
                <w:szCs w:val="18"/>
              </w:rPr>
              <w:t>2024년 공시값 95.6%로 기준을 크게 상회</w:t>
            </w:r>
          </w:p>
        </w:tc>
      </w:tr>
      <w:tr>
        <w:trPr/>
        <w:tc>
          <w:tcPr>
            <w:tcW w:w="1217"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val="0"/>
                <w:bCs w:val="0"/>
                <w:sz w:val="18"/>
                <w:szCs w:val="18"/>
              </w:rPr>
              <w:t>금고잔액비율</w:t>
            </w:r>
          </w:p>
        </w:tc>
        <w:tc>
          <w:tcPr>
            <w:tcW w:w="2028"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val="0"/>
                <w:bCs w:val="0"/>
                <w:sz w:val="18"/>
                <w:szCs w:val="18"/>
              </w:rPr>
              <w:t>산출 불가</w:t>
            </w:r>
          </w:p>
        </w:tc>
        <w:tc>
          <w:tcPr>
            <w:tcW w:w="946"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val="0"/>
                <w:bCs w:val="0"/>
                <w:sz w:val="18"/>
                <w:szCs w:val="18"/>
              </w:rPr>
              <w:t>20% 미만</w:t>
            </w:r>
          </w:p>
        </w:tc>
        <w:tc>
          <w:tcPr>
            <w:tcW w:w="946"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val="0"/>
                <w:bCs w:val="0"/>
                <w:sz w:val="18"/>
                <w:szCs w:val="18"/>
              </w:rPr>
              <w:t>10% 미만</w:t>
            </w:r>
          </w:p>
        </w:tc>
        <w:tc>
          <w:tcPr>
            <w:tcW w:w="3651"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val="0"/>
                <w:bCs w:val="0"/>
                <w:sz w:val="18"/>
                <w:szCs w:val="18"/>
              </w:rPr>
              <w:t>–</w:t>
            </w:r>
          </w:p>
        </w:tc>
      </w:tr>
      <w:tr>
        <w:trPr/>
        <w:tc>
          <w:tcPr>
            <w:tcW w:w="1217"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val="0"/>
                <w:bCs w:val="0"/>
                <w:sz w:val="18"/>
                <w:szCs w:val="18"/>
              </w:rPr>
              <w:t>공기업 부채비율</w:t>
            </w:r>
          </w:p>
        </w:tc>
        <w:tc>
          <w:tcPr>
            <w:tcW w:w="2028"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val="0"/>
                <w:bCs w:val="0"/>
                <w:sz w:val="18"/>
                <w:szCs w:val="18"/>
              </w:rPr>
              <w:t>47.0%</w:t>
            </w:r>
          </w:p>
        </w:tc>
        <w:tc>
          <w:tcPr>
            <w:tcW w:w="946"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val="0"/>
                <w:bCs w:val="0"/>
                <w:sz w:val="18"/>
                <w:szCs w:val="18"/>
              </w:rPr>
              <w:t>400% 초과</w:t>
            </w:r>
          </w:p>
        </w:tc>
        <w:tc>
          <w:tcPr>
            <w:tcW w:w="946"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val="0"/>
                <w:bCs w:val="0"/>
                <w:sz w:val="18"/>
                <w:szCs w:val="18"/>
              </w:rPr>
              <w:t>600% 초과</w:t>
            </w:r>
          </w:p>
        </w:tc>
        <w:tc>
          <w:tcPr>
            <w:tcW w:w="3651"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val="0"/>
                <w:bCs w:val="0"/>
                <w:sz w:val="18"/>
                <w:szCs w:val="18"/>
              </w:rPr>
              <w:t>기준의 약 8분의 1</w:t>
            </w:r>
          </w:p>
        </w:tc>
      </w:tr>
    </w:tbl>
    <w:p>
      <w:pPr>
        <w:spacing w:after="0"/>
      </w:pPr>
    </w:p>
    <w:p>
      <w:pPr>
        <w:jc w:val="left"/>
        <w:spacing w:after="120" w:before="0" w:line="384" w:lineRule="auto"/>
      </w:pPr>
      <w:r>
        <w:rPr>
          <w:rFonts w:ascii="Arial" w:eastAsia="맑은 고딕" w:hAnsi="Arial"/>
          <w:b w:val="0"/>
          <w:bCs w:val="0"/>
          <w:sz w:val="16"/>
          <w:szCs w:val="16"/>
        </w:rPr>
        <w:t>출처: 위 표 7과 같다. 산출을 보류한 두 지표는 각각 산식 미확정(통합재정수지비율)과 분모 자료 부재(지방세징수액 비율) 때문이며, 확정값은 결산심사와 지방재정365 공시로 확인해야 한다. 채무상환비 비율은 2025년 채무 원금상환 1,535.78억 원(결산서 채무관리보고서)과 이자상환 262.7억~375.9억 원(현금주의 결산액과 발생주의 이자비용의 차이)을 일반재원 3조 9,463억 원(지방세+세외수입+지방교부세 등)으로 나눈 값이다 [추정]. 금고잔액비율은 공시 지표에도, 우리가 확보한 결산서에도 원천 자료가 없어 산출하지 못했다.</w:t>
      </w:r>
    </w:p>
    <w:p>
      <w:pPr>
        <w:ind w:firstLine="200"/>
        <w:jc w:val="both"/>
        <w:spacing w:after="60" w:before="0" w:line="384" w:lineRule="auto"/>
      </w:pPr>
      <w:r>
        <w:rPr>
          <w:rFonts w:ascii="Arial" w:eastAsia="맑은 고딕" w:hAnsi="Arial"/>
          <w:b/>
          <w:bCs/>
          <w:sz w:val="20"/>
          <w:szCs w:val="20"/>
        </w:rPr>
        <w:t>2025년 값을 산출한 세 지표(예산대비 채무비율·채무상환비 비율·공기업 부채비율)와, 2024년 공시값이 있는 두 지표(통합재정수지비율·지방세징수액 비율) 모두 재정주의단체 기준에 크게 못 미친다.</w:t>
      </w:r>
      <w:r>
        <w:rPr>
          <w:rFonts w:ascii="Arial" w:eastAsia="맑은 고딕" w:hAnsi="Arial"/>
          <w:b w:val="0"/>
          <w:bCs w:val="0"/>
          <w:sz w:val="20"/>
          <w:szCs w:val="20"/>
        </w:rPr>
        <w:t xml:space="preserve"> 여섯 지표 가운데 </w:t>
      </w:r>
      <w:r>
        <w:rPr>
          <w:rFonts w:ascii="Arial" w:eastAsia="맑은 고딕" w:hAnsi="Arial"/>
          <w:b/>
          <w:bCs/>
          <w:sz w:val="20"/>
          <w:szCs w:val="20"/>
        </w:rPr>
        <w:t>금고잔액비율을 뺀 다섯 지표는 어느 것도</w:t>
      </w:r>
      <w:r>
        <w:rPr>
          <w:rFonts w:ascii="Arial" w:eastAsia="맑은 고딕" w:hAnsi="Arial"/>
          <w:b w:val="0"/>
          <w:bCs w:val="0"/>
          <w:sz w:val="20"/>
          <w:szCs w:val="20"/>
        </w:rPr>
        <w:t xml:space="preserve"> 주의 구간에 들어와 있지 않다. 금고잔액비율은 원천 자료가 없어 판정하지 못했으므로, '전 지표 안전'이라고까지 말할 수는 없다.</w:t>
      </w:r>
    </w:p>
    <w:p>
      <w:pPr>
        <w:ind w:left="300" w:hanging="200"/>
        <w:jc w:val="both"/>
        <w:spacing w:after="60" w:before="0" w:line="384" w:lineRule="auto"/>
      </w:pPr>
      <w:r>
        <w:rPr>
          <w:rFonts w:ascii="Arial" w:eastAsia="맑은 고딕" w:hAnsi="Arial"/>
          <w:b w:val="0"/>
          <w:bCs w:val="0"/>
          <w:sz w:val="20"/>
          <w:szCs w:val="20"/>
        </w:rPr>
        <w:t>● 통합재정수지비율은 2024년 △5.51%인데 주의 기준은 △25% 초과다. 기준의 5분의 1 수준이다.</w:t>
      </w:r>
    </w:p>
    <w:p>
      <w:pPr>
        <w:ind w:left="300" w:hanging="200"/>
        <w:jc w:val="both"/>
        <w:spacing w:after="60" w:before="0" w:line="384" w:lineRule="auto"/>
      </w:pPr>
      <w:r>
        <w:rPr>
          <w:rFonts w:ascii="Arial" w:eastAsia="맑은 고딕" w:hAnsi="Arial"/>
          <w:b w:val="0"/>
          <w:bCs w:val="0"/>
          <w:sz w:val="20"/>
          <w:szCs w:val="20"/>
        </w:rPr>
        <w:t>● 예산대비 채무비율은 2024년 17.50%, 2025년 18.5%[추정]로 주의 기준 25%까지 약 6.5%p 남았다.</w:t>
      </w:r>
    </w:p>
    <w:p>
      <w:pPr>
        <w:ind w:left="300" w:hanging="200"/>
        <w:jc w:val="both"/>
        <w:spacing w:after="60" w:before="0" w:line="384" w:lineRule="auto"/>
      </w:pPr>
      <w:r>
        <w:rPr>
          <w:rFonts w:ascii="Arial" w:eastAsia="맑은 고딕" w:hAnsi="Arial"/>
          <w:b w:val="0"/>
          <w:bCs w:val="0"/>
          <w:sz w:val="20"/>
          <w:szCs w:val="20"/>
        </w:rPr>
        <w:t>● 공기업 부채비율은 2024년 공시값 20.64%로 주의 기준 400%와는 거리가 매우 멀다. 2025년은 결산서(공사 3곳·공단 1곳) 기준으로 47.0%[추정]이지만 공시 계열의 대상 기관 범위가 이보다 넓어 앞 연도와 이어서 볼 수 없으므로, 추세 판단에는 2024년 공시값을 쓴다.</w:t>
      </w:r>
    </w:p>
    <w:p>
      <w:pPr>
        <w:ind w:left="300" w:hanging="200"/>
        <w:jc w:val="both"/>
        <w:spacing w:after="60" w:before="0" w:line="384" w:lineRule="auto"/>
      </w:pPr>
      <w:r>
        <w:rPr>
          <w:rFonts w:ascii="Arial" w:eastAsia="맑은 고딕" w:hAnsi="Arial"/>
          <w:b w:val="0"/>
          <w:bCs w:val="0"/>
          <w:sz w:val="20"/>
          <w:szCs w:val="20"/>
        </w:rPr>
        <w:t>● 지방세징수율은 95.6%로 주의 기준(80% 미만)에 해당하지 않는다.</w:t>
      </w:r>
    </w:p>
    <w:p>
      <w:pPr>
        <w:ind w:left="300" w:hanging="200"/>
        <w:jc w:val="both"/>
        <w:spacing w:after="60" w:before="0" w:line="384" w:lineRule="auto"/>
      </w:pPr>
      <w:r>
        <w:rPr>
          <w:rFonts w:ascii="Arial" w:eastAsia="맑은 고딕" w:hAnsi="Arial"/>
          <w:b w:val="0"/>
          <w:bCs w:val="0"/>
          <w:sz w:val="20"/>
          <w:szCs w:val="20"/>
        </w:rPr>
        <w:t>● 채무상환비 비율은 2025년 약 4.6~4.8%로 추정되며 주의 기준(12% 초과)의 절반에도 못 미친다.</w:t>
      </w:r>
    </w:p>
    <w:p>
      <w:pPr>
        <w:ind w:firstLine="200"/>
        <w:jc w:val="both"/>
        <w:spacing w:after="60" w:before="0" w:line="384" w:lineRule="auto"/>
      </w:pPr>
      <w:r>
        <w:rPr>
          <w:rFonts w:ascii="Arial" w:eastAsia="맑은 고딕" w:hAnsi="Arial"/>
          <w:b w:val="0"/>
          <w:bCs w:val="0"/>
          <w:sz w:val="20"/>
          <w:szCs w:val="20"/>
        </w:rPr>
        <w:t xml:space="preserve">다만 하나는 분명히 짚어야 한다. </w:t>
      </w:r>
      <w:r>
        <w:rPr>
          <w:rFonts w:ascii="Arial" w:eastAsia="맑은 고딕" w:hAnsi="Arial"/>
          <w:b/>
          <w:bCs/>
          <w:sz w:val="20"/>
          <w:szCs w:val="20"/>
        </w:rPr>
        <w:t>예산대비 채무비율만 뚜렷한 상승 추세다.</w:t>
      </w:r>
      <w:r>
        <w:rPr>
          <w:rFonts w:ascii="Arial" w:eastAsia="맑은 고딕" w:hAnsi="Arial"/>
          <w:b w:val="0"/>
          <w:bCs w:val="0"/>
          <w:sz w:val="20"/>
          <w:szCs w:val="20"/>
        </w:rPr>
        <w:t xml:space="preserve"> 2019년 8.83%에서 2024년 17.50%로 5년 만에 두 배가 됐고, 2025년 추정치는 18.5%다. 최근 5년 평균 상승 속도(연 1.7%p)가 이어지면 약 4년, 최근 1년 속도(연 1.0%p)면 약 6년 뒤 주의 기준에 닿는다[추정]. 위험 구간에 들어와 있지는 않지만, 방향은 그쪽을 향하고 있다.</w:t>
      </w:r>
    </w:p>
    <w:p>
      <w:pPr>
        <w:ind w:firstLine="200"/>
        <w:jc w:val="both"/>
        <w:spacing w:after="60" w:before="0" w:line="384" w:lineRule="auto"/>
      </w:pPr>
      <w:r>
        <w:rPr>
          <w:rFonts w:ascii="Arial" w:eastAsia="맑은 고딕" w:hAnsi="Arial"/>
          <w:b w:val="0"/>
          <w:bCs w:val="0"/>
          <w:sz w:val="20"/>
          <w:szCs w:val="20"/>
        </w:rPr>
        <w:t xml:space="preserve">한편 </w:t>
      </w:r>
      <w:r>
        <w:rPr>
          <w:rFonts w:ascii="Arial" w:eastAsia="맑은 고딕" w:hAnsi="Arial"/>
          <w:b/>
          <w:bCs/>
          <w:sz w:val="20"/>
          <w:szCs w:val="20"/>
        </w:rPr>
        <w:t>금고잔액비율은 산출하지 못했다.</w:t>
      </w:r>
      <w:r>
        <w:rPr>
          <w:rFonts w:ascii="Arial" w:eastAsia="맑은 고딕" w:hAnsi="Arial"/>
          <w:b w:val="0"/>
          <w:bCs w:val="0"/>
          <w:sz w:val="20"/>
          <w:szCs w:val="20"/>
        </w:rPr>
        <w:t xml:space="preserve"> 지방재정365 공시지표에 해당 항목이 없고, 우리가 확보한 결산서에도 금고 예치잔액을 명시한 표가 없다. 채무상환비 비율도 공시 항목이 없어 결산서 수치로 추정할 수밖에 없었다. 두 지표의 확정값은 결산심사에서 확인이 필요하다.</w:t>
      </w:r>
    </w:p>
    <w:p>
      <w:pPr>
        <w:jc w:val="left"/>
        <w:spacing w:after="100" w:before="240" w:line="384" w:lineRule="auto"/>
      </w:pPr>
      <w:r>
        <w:rPr>
          <w:rFonts w:ascii="Arial" w:eastAsia="맑은 고딕" w:hAnsi="Arial"/>
          <w:b/>
          <w:bCs/>
          <w:sz w:val="22"/>
          <w:szCs w:val="22"/>
        </w:rPr>
        <w:t>4. 지방채 발행 한도</w:t>
      </w:r>
    </w:p>
    <w:p>
      <w:pPr>
        <w:ind w:firstLine="200"/>
        <w:jc w:val="both"/>
        <w:spacing w:after="60" w:before="0" w:line="384" w:lineRule="auto"/>
      </w:pPr>
      <w:r>
        <w:rPr>
          <w:rFonts w:ascii="Arial" w:eastAsia="맑은 고딕" w:hAnsi="Arial"/>
          <w:b w:val="0"/>
          <w:bCs w:val="0"/>
          <w:sz w:val="20"/>
          <w:szCs w:val="20"/>
        </w:rPr>
        <w:t xml:space="preserve">지방재정법 제11조 제2항은 지방채를 </w:t>
      </w:r>
      <w:r>
        <w:rPr>
          <w:rFonts w:ascii="Arial" w:eastAsia="맑은 고딕" w:hAnsi="Arial"/>
          <w:b/>
          <w:bCs/>
          <w:sz w:val="20"/>
          <w:szCs w:val="20"/>
        </w:rPr>
        <w:t>발행 한도액 범위에서 지방의회 의결을 얻어</w:t>
      </w:r>
      <w:r>
        <w:rPr>
          <w:rFonts w:ascii="Arial" w:eastAsia="맑은 고딕" w:hAnsi="Arial"/>
          <w:b w:val="0"/>
          <w:bCs w:val="0"/>
          <w:sz w:val="20"/>
          <w:szCs w:val="20"/>
        </w:rPr>
        <w:t xml:space="preserve"> 발행하도록 하고, 시행령 제10조 제2항은 그 한도를 </w:t>
      </w:r>
      <w:r>
        <w:rPr>
          <w:rFonts w:ascii="Arial" w:eastAsia="맑은 고딕" w:hAnsi="Arial"/>
          <w:b/>
          <w:bCs/>
          <w:sz w:val="20"/>
          <w:szCs w:val="20"/>
        </w:rPr>
        <w:t>전전연도 예산액의 10% 범위</w:t>
      </w:r>
      <w:r>
        <w:rPr>
          <w:rFonts w:ascii="Arial" w:eastAsia="맑은 고딕" w:hAnsi="Arial"/>
          <w:b w:val="0"/>
          <w:bCs w:val="0"/>
          <w:sz w:val="20"/>
          <w:szCs w:val="20"/>
        </w:rPr>
        <w:t>에서 정하도록 하고 있다. 한도를 넘으려면 행정안전부장관과 협의해야 하고, 일정 범위를 넘으면 승인을 받아야 한다(법 제11조 제3항).</w:t>
      </w:r>
    </w:p>
    <w:p>
      <w:pPr>
        <w:ind w:firstLine="200"/>
        <w:jc w:val="both"/>
        <w:spacing w:after="60" w:before="0" w:line="384" w:lineRule="auto"/>
      </w:pPr>
      <w:r>
        <w:rPr>
          <w:rFonts w:ascii="Arial" w:eastAsia="맑은 고딕" w:hAnsi="Arial"/>
          <w:b w:val="0"/>
          <w:bCs w:val="0"/>
          <w:sz w:val="20"/>
          <w:szCs w:val="20"/>
        </w:rPr>
        <w:t xml:space="preserve">2025년 대전시의 지방채 발행액은 3,426억 원이다. 전전연도인 2023년 대전시 세출 결산이 6조 5,123억 원이므로 한도는 6,500억 원 안팎으로 볼 수 있고, 발행액은 그 절반 수준이다 [추정]. </w:t>
      </w:r>
      <w:r>
        <w:rPr>
          <w:rFonts w:ascii="Arial" w:eastAsia="맑은 고딕" w:hAnsi="Arial"/>
          <w:b/>
          <w:bCs/>
          <w:sz w:val="20"/>
          <w:szCs w:val="20"/>
        </w:rPr>
        <w:t>행정안전부가 통보한 실제 한도액과 그 소진율은 우리가 확보한 자료에서 확인되지 않아 심사에서 확인이 필요하다.</w:t>
      </w:r>
    </w:p>
    <w:p>
      <w:pPr>
        <w:jc w:val="left"/>
        <w:spacing w:after="100" w:before="240" w:line="384" w:lineRule="auto"/>
      </w:pPr>
      <w:r>
        <w:rPr>
          <w:rFonts w:ascii="Arial" w:eastAsia="맑은 고딕" w:hAnsi="Arial"/>
          <w:b/>
          <w:bCs/>
          <w:sz w:val="22"/>
          <w:szCs w:val="22"/>
        </w:rPr>
        <w:t>5. 결산이 뒷받침하는 것과 그렇지 않은 것</w:t>
      </w:r>
    </w:p>
    <w:p>
      <w:pPr>
        <w:ind w:left="300" w:hanging="200"/>
        <w:jc w:val="both"/>
        <w:spacing w:after="60" w:before="0" w:line="384" w:lineRule="auto"/>
      </w:pPr>
      <w:r>
        <w:rPr>
          <w:rFonts w:ascii="Arial" w:eastAsia="맑은 고딕" w:hAnsi="Arial"/>
          <w:b w:val="0"/>
          <w:bCs w:val="0"/>
          <w:sz w:val="20"/>
          <w:szCs w:val="20"/>
        </w:rPr>
        <w:t xml:space="preserve">● </w:t>
      </w:r>
      <w:r>
        <w:rPr>
          <w:rFonts w:ascii="Arial" w:eastAsia="맑은 고딕" w:hAnsi="Arial"/>
          <w:b/>
          <w:bCs/>
          <w:sz w:val="20"/>
          <w:szCs w:val="20"/>
        </w:rPr>
        <w:t>뒷받침되는 것</w:t>
      </w:r>
      <w:r>
        <w:rPr>
          <w:rFonts w:ascii="Arial" w:eastAsia="맑은 고딕" w:hAnsi="Arial"/>
          <w:b w:val="0"/>
          <w:bCs w:val="0"/>
          <w:sz w:val="20"/>
          <w:szCs w:val="20"/>
        </w:rPr>
        <w:t>: 채무가 빠르게 늘고 있다는 진단이다. 6년에 2.66배, 3년에 58%는 살림 증가 속도를 크게 앞선다. 예산대비 채무비율도 5년에 두 배가 됐다. 여기에 산하 공사의 부채 증가(Ⅴ장)까지 더하면 부담이 커지고 있다는 판단은 결산과 어긋나지 않는다.</w:t>
      </w:r>
    </w:p>
    <w:p>
      <w:pPr>
        <w:ind w:left="300" w:hanging="200"/>
        <w:jc w:val="both"/>
        <w:spacing w:after="60" w:before="0" w:line="384" w:lineRule="auto"/>
      </w:pPr>
      <w:r>
        <w:rPr>
          <w:rFonts w:ascii="Arial" w:eastAsia="맑은 고딕" w:hAnsi="Arial"/>
          <w:b w:val="0"/>
          <w:bCs w:val="0"/>
          <w:sz w:val="20"/>
          <w:szCs w:val="20"/>
        </w:rPr>
        <w:t xml:space="preserve">● </w:t>
      </w:r>
      <w:r>
        <w:rPr>
          <w:rFonts w:ascii="Arial" w:eastAsia="맑은 고딕" w:hAnsi="Arial"/>
          <w:b/>
          <w:bCs/>
          <w:sz w:val="20"/>
          <w:szCs w:val="20"/>
        </w:rPr>
        <w:t>뒷받침되지 않는 것</w:t>
      </w:r>
      <w:r>
        <w:rPr>
          <w:rFonts w:ascii="Arial" w:eastAsia="맑은 고딕" w:hAnsi="Arial"/>
          <w:b w:val="0"/>
          <w:bCs w:val="0"/>
          <w:sz w:val="20"/>
          <w:szCs w:val="20"/>
        </w:rPr>
        <w:t xml:space="preserve">: '세입 부족'은 원인이 아니다. 2025년 세입은 예산현액 8조 2,179억 원 대비 8조 2,707억 원이 들어와 </w:t>
      </w:r>
      <w:r>
        <w:rPr>
          <w:rFonts w:ascii="Arial" w:eastAsia="맑은 고딕" w:hAnsi="Arial"/>
          <w:b/>
          <w:bCs/>
          <w:sz w:val="20"/>
          <w:szCs w:val="20"/>
        </w:rPr>
        <w:t>수납률 101%</w:t>
      </w:r>
      <w:r>
        <w:rPr>
          <w:rFonts w:ascii="Arial" w:eastAsia="맑은 고딕" w:hAnsi="Arial"/>
          <w:b w:val="0"/>
          <w:bCs w:val="0"/>
          <w:sz w:val="20"/>
          <w:szCs w:val="20"/>
        </w:rPr>
        <w:t>다. 걷을 돈이 안 들어온 해가 아니었다. 세입은 오히려 10.8% 늘었다.</w:t>
      </w:r>
    </w:p>
    <w:p>
      <w:pPr>
        <w:ind w:left="300" w:hanging="200"/>
        <w:jc w:val="both"/>
        <w:spacing w:after="60" w:before="0" w:line="384" w:lineRule="auto"/>
      </w:pPr>
      <w:r>
        <w:rPr>
          <w:rFonts w:ascii="Arial" w:eastAsia="맑은 고딕" w:hAnsi="Arial"/>
          <w:b w:val="0"/>
          <w:bCs w:val="0"/>
          <w:sz w:val="20"/>
          <w:szCs w:val="20"/>
        </w:rPr>
        <w:t xml:space="preserve">● </w:t>
      </w:r>
      <w:r>
        <w:rPr>
          <w:rFonts w:ascii="Arial" w:eastAsia="맑은 고딕" w:hAnsi="Arial"/>
          <w:b/>
          <w:bCs/>
          <w:sz w:val="20"/>
          <w:szCs w:val="20"/>
        </w:rPr>
        <w:t>법정 기준으로 보면</w:t>
      </w:r>
      <w:r>
        <w:rPr>
          <w:rFonts w:ascii="Arial" w:eastAsia="맑은 고딕" w:hAnsi="Arial"/>
          <w:b w:val="0"/>
          <w:bCs w:val="0"/>
          <w:sz w:val="20"/>
          <w:szCs w:val="20"/>
        </w:rPr>
        <w:t xml:space="preserve"> 대전은 재정위기단체·재정주의단체 어느 쪽에도 해당하지 않는다. '재정위기'라는 표현은 법령상 지정 상태를 뜻하는 용어이기도 하므로, 정책 설명에서 쓸 때는 </w:t>
      </w:r>
      <w:r>
        <w:rPr>
          <w:rFonts w:ascii="Arial" w:eastAsia="맑은 고딕" w:hAnsi="Arial"/>
          <w:b/>
          <w:bCs/>
          <w:sz w:val="20"/>
          <w:szCs w:val="20"/>
        </w:rPr>
        <w:t>법정 지정과는 다른 의미라는 점이 함께 밝혀져야</w:t>
      </w:r>
      <w:r>
        <w:rPr>
          <w:rFonts w:ascii="Arial" w:eastAsia="맑은 고딕" w:hAnsi="Arial"/>
          <w:b w:val="0"/>
          <w:bCs w:val="0"/>
          <w:sz w:val="20"/>
          <w:szCs w:val="20"/>
        </w:rPr>
        <w:t xml:space="preserve"> 시민이 오해하지 않는다.</w:t>
      </w:r>
    </w:p>
    <w:p>
      <w:pPr>
        <w:ind w:left="300" w:hanging="200"/>
        <w:jc w:val="both"/>
        <w:spacing w:after="60" w:before="0" w:line="384" w:lineRule="auto"/>
      </w:pPr>
      <w:r>
        <w:rPr>
          <w:rFonts w:ascii="Arial" w:eastAsia="맑은 고딕" w:hAnsi="Arial"/>
          <w:b w:val="0"/>
          <w:bCs w:val="0"/>
          <w:sz w:val="20"/>
          <w:szCs w:val="20"/>
        </w:rPr>
        <w:t xml:space="preserve">● 따라서 문제의 핵심은 "돈이 안 들어온다"가 아니라 </w:t>
      </w:r>
      <w:r>
        <w:rPr>
          <w:rFonts w:ascii="Arial" w:eastAsia="맑은 고딕" w:hAnsi="Arial"/>
          <w:b/>
          <w:bCs/>
          <w:sz w:val="20"/>
          <w:szCs w:val="20"/>
        </w:rPr>
        <w:t>"자체수입은 제자리인데 빚으로 벌인 대형 사업의 집행이 계획을 따라가지 못한다"</w:t>
      </w:r>
      <w:r>
        <w:rPr>
          <w:rFonts w:ascii="Arial" w:eastAsia="맑은 고딕" w:hAnsi="Arial"/>
          <w:b w:val="0"/>
          <w:bCs w:val="0"/>
          <w:sz w:val="20"/>
          <w:szCs w:val="20"/>
        </w:rPr>
        <w:t>는 데 있다.</w:t>
      </w:r>
    </w:p>
    <w:p>
      <w:r>
        <w:br w:type="page"/>
      </w:r>
    </w:p>
    <w:p>
      <w:pPr>
        <w:jc w:val="left"/>
        <w:spacing w:after="140" w:before="320" w:line="384" w:lineRule="auto"/>
      </w:pPr>
      <w:r>
        <w:rPr>
          <w:rFonts w:ascii="Arial" w:eastAsia="맑은 고딕" w:hAnsi="Arial"/>
          <w:b/>
          <w:bCs/>
          <w:sz w:val="26"/>
          <w:szCs w:val="26"/>
        </w:rPr>
        <w:t>Ⅳ. 이월 실태 — 대표 사례 두 건</w:t>
      </w:r>
    </w:p>
    <w:p>
      <w:pPr>
        <w:ind w:firstLine="200"/>
        <w:jc w:val="both"/>
        <w:spacing w:after="60" w:before="0" w:line="384" w:lineRule="auto"/>
      </w:pPr>
      <w:r>
        <w:rPr>
          <w:rFonts w:ascii="Arial" w:eastAsia="맑은 고딕" w:hAnsi="Arial"/>
          <w:b w:val="0"/>
          <w:bCs w:val="0"/>
          <w:sz w:val="20"/>
          <w:szCs w:val="20"/>
        </w:rPr>
        <w:t xml:space="preserve">2025년 다음연도 이월액은 3,679억 원이다. 이 가운데 절반 가까운 1,756억 원이 도시철도사업(1,037억)과 하수도사업(719억) 두 회계에서 나왔다. 이 장은 그 두 건을 대표 사례로 본다. 두 사업을 고른 이유는 규모가 가장 크고, </w:t>
      </w:r>
      <w:r>
        <w:rPr>
          <w:rFonts w:ascii="Arial" w:eastAsia="맑은 고딕" w:hAnsi="Arial"/>
          <w:b/>
          <w:bCs/>
          <w:sz w:val="20"/>
          <w:szCs w:val="20"/>
        </w:rPr>
        <w:t>이월의 성격이 서로 다르기 때문</w:t>
      </w:r>
      <w:r>
        <w:rPr>
          <w:rFonts w:ascii="Arial" w:eastAsia="맑은 고딕" w:hAnsi="Arial"/>
          <w:b w:val="0"/>
          <w:bCs w:val="0"/>
          <w:sz w:val="20"/>
          <w:szCs w:val="20"/>
        </w:rPr>
        <w:t>이다. 트램은 빚으로 편성한 돈을 넘긴 경우이고, 하수도는 한 번 넘긴 돈을 다시 넘긴 경우다.</w:t>
      </w:r>
    </w:p>
    <w:p>
      <w:pPr>
        <w:jc w:val="left"/>
        <w:spacing w:after="100" w:before="240" w:line="384" w:lineRule="auto"/>
      </w:pPr>
      <w:r>
        <w:rPr>
          <w:rFonts w:ascii="Arial" w:eastAsia="맑은 고딕" w:hAnsi="Arial"/>
          <w:b/>
          <w:bCs/>
          <w:sz w:val="22"/>
          <w:szCs w:val="22"/>
        </w:rPr>
        <w:t>1. 도시철도(트램) 이월 1,037억 원 — 빚으로 편성하고 넘긴 돈</w:t>
      </w:r>
    </w:p>
    <w:p>
      <w:pPr>
        <w:ind w:firstLine="200"/>
        <w:jc w:val="both"/>
        <w:spacing w:after="60" w:before="0" w:line="384" w:lineRule="auto"/>
      </w:pPr>
      <w:r>
        <w:rPr>
          <w:rFonts w:ascii="Arial" w:eastAsia="맑은 고딕" w:hAnsi="Arial"/>
          <w:b w:val="0"/>
          <w:bCs w:val="0"/>
          <w:sz w:val="20"/>
          <w:szCs w:val="20"/>
        </w:rPr>
        <w:t>도시철도사업특별회계의 이월액 1,037억 원은 거의 전액(99.96%)이 도시철도 2호선(트램) 한 사업에서 발생했다. 계속비 총사업비는 1조 4,973억 원이다.</w:t>
      </w:r>
    </w:p>
    <w:p>
      <w:pPr>
        <w:jc w:val="center"/>
        <w:spacing w:after="60" w:before="160" w:line="384" w:lineRule="auto"/>
      </w:pPr>
      <w:r>
        <w:rPr>
          <w:rFonts w:ascii="Arial" w:eastAsia="맑은 고딕" w:hAnsi="Arial"/>
          <w:b/>
          <w:bCs/>
          <w:sz w:val="20"/>
          <w:szCs w:val="20"/>
        </w:rPr>
        <w:t>&lt;표 9&gt; 도시철도 2호선 건설 이월 내역</w:t>
      </w:r>
    </w:p>
    <w:tbl>
      <w:tblPr>
        <w:tblW w:w="87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00"/>
        <w:gridCol w:w="1900"/>
        <w:gridCol w:w="1900"/>
        <w:gridCol w:w="1188"/>
        <w:gridCol w:w="1900"/>
      </w:tblGrid>
      <w:tr>
        <w:trPr>
          <w:tblHeader/>
        </w:trPr>
        <w:tc>
          <w:tcPr>
            <w:tcW w:w="19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center"/>
              <w:spacing w:after="0" w:line="264" w:lineRule="auto"/>
            </w:pPr>
            <w:r>
              <w:rPr>
                <w:rFonts w:ascii="Arial" w:eastAsia="맑은 고딕" w:hAnsi="Arial"/>
                <w:b/>
                <w:bCs/>
                <w:sz w:val="18"/>
                <w:szCs w:val="18"/>
              </w:rPr>
              <w:t>비목</w:t>
            </w:r>
          </w:p>
        </w:tc>
        <w:tc>
          <w:tcPr>
            <w:tcW w:w="19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center"/>
              <w:spacing w:after="0" w:line="264" w:lineRule="auto"/>
            </w:pPr>
            <w:r>
              <w:rPr>
                <w:rFonts w:ascii="Arial" w:eastAsia="맑은 고딕" w:hAnsi="Arial"/>
                <w:b/>
                <w:bCs/>
                <w:sz w:val="18"/>
                <w:szCs w:val="18"/>
              </w:rPr>
              <w:t>예산현액</w:t>
            </w:r>
          </w:p>
        </w:tc>
        <w:tc>
          <w:tcPr>
            <w:tcW w:w="19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center"/>
              <w:spacing w:after="0" w:line="264" w:lineRule="auto"/>
            </w:pPr>
            <w:r>
              <w:rPr>
                <w:rFonts w:ascii="Arial" w:eastAsia="맑은 고딕" w:hAnsi="Arial"/>
                <w:b/>
                <w:bCs/>
                <w:sz w:val="18"/>
                <w:szCs w:val="18"/>
              </w:rPr>
              <w:t>지출액</w:t>
            </w:r>
          </w:p>
        </w:tc>
        <w:tc>
          <w:tcPr>
            <w:tcW w:w="1188"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center"/>
              <w:spacing w:after="0" w:line="264" w:lineRule="auto"/>
            </w:pPr>
            <w:r>
              <w:rPr>
                <w:rFonts w:ascii="Arial" w:eastAsia="맑은 고딕" w:hAnsi="Arial"/>
                <w:b/>
                <w:bCs/>
                <w:sz w:val="18"/>
                <w:szCs w:val="18"/>
              </w:rPr>
              <w:t>집행률</w:t>
            </w:r>
          </w:p>
        </w:tc>
        <w:tc>
          <w:tcPr>
            <w:tcW w:w="19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center"/>
              <w:spacing w:after="0" w:line="264" w:lineRule="auto"/>
            </w:pPr>
            <w:r>
              <w:rPr>
                <w:rFonts w:ascii="Arial" w:eastAsia="맑은 고딕" w:hAnsi="Arial"/>
                <w:b/>
                <w:bCs/>
                <w:sz w:val="18"/>
                <w:szCs w:val="18"/>
              </w:rPr>
              <w:t>계속비이월액</w:t>
            </w:r>
          </w:p>
        </w:tc>
      </w:tr>
      <w:tr>
        <w:trPr/>
        <w:tc>
          <w:tcPr>
            <w:tcW w:w="19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val="0"/>
                <w:bCs w:val="0"/>
                <w:sz w:val="18"/>
                <w:szCs w:val="18"/>
              </w:rPr>
              <w:t>시설비</w:t>
            </w:r>
          </w:p>
        </w:tc>
        <w:tc>
          <w:tcPr>
            <w:tcW w:w="19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val="0"/>
                <w:bCs w:val="0"/>
                <w:sz w:val="18"/>
                <w:szCs w:val="18"/>
              </w:rPr>
              <w:t>3,010.9억</w:t>
            </w:r>
          </w:p>
        </w:tc>
        <w:tc>
          <w:tcPr>
            <w:tcW w:w="19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val="0"/>
                <w:bCs w:val="0"/>
                <w:sz w:val="18"/>
                <w:szCs w:val="18"/>
              </w:rPr>
              <w:t>2,009.7억</w:t>
            </w:r>
          </w:p>
        </w:tc>
        <w:tc>
          <w:tcPr>
            <w:tcW w:w="1188"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val="0"/>
                <w:bCs w:val="0"/>
                <w:sz w:val="18"/>
                <w:szCs w:val="18"/>
              </w:rPr>
              <w:t>66.8%</w:t>
            </w:r>
          </w:p>
        </w:tc>
        <w:tc>
          <w:tcPr>
            <w:tcW w:w="19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val="0"/>
                <w:bCs w:val="0"/>
                <w:sz w:val="18"/>
                <w:szCs w:val="18"/>
              </w:rPr>
              <w:t>1,001.1억</w:t>
            </w:r>
          </w:p>
        </w:tc>
      </w:tr>
      <w:tr>
        <w:trPr/>
        <w:tc>
          <w:tcPr>
            <w:tcW w:w="19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val="0"/>
                <w:bCs w:val="0"/>
                <w:sz w:val="18"/>
                <w:szCs w:val="18"/>
              </w:rPr>
              <w:t>감리비</w:t>
            </w:r>
          </w:p>
        </w:tc>
        <w:tc>
          <w:tcPr>
            <w:tcW w:w="19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val="0"/>
                <w:bCs w:val="0"/>
                <w:sz w:val="18"/>
                <w:szCs w:val="18"/>
              </w:rPr>
              <w:t>138.9억</w:t>
            </w:r>
          </w:p>
        </w:tc>
        <w:tc>
          <w:tcPr>
            <w:tcW w:w="19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val="0"/>
                <w:bCs w:val="0"/>
                <w:sz w:val="18"/>
                <w:szCs w:val="18"/>
              </w:rPr>
              <w:t>104.2억</w:t>
            </w:r>
          </w:p>
        </w:tc>
        <w:tc>
          <w:tcPr>
            <w:tcW w:w="1188"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val="0"/>
                <w:bCs w:val="0"/>
                <w:sz w:val="18"/>
                <w:szCs w:val="18"/>
              </w:rPr>
              <w:t>75.1%</w:t>
            </w:r>
          </w:p>
        </w:tc>
        <w:tc>
          <w:tcPr>
            <w:tcW w:w="19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val="0"/>
                <w:bCs w:val="0"/>
                <w:sz w:val="18"/>
                <w:szCs w:val="18"/>
              </w:rPr>
              <w:t>34.6억</w:t>
            </w:r>
          </w:p>
        </w:tc>
      </w:tr>
      <w:tr>
        <w:trPr/>
        <w:tc>
          <w:tcPr>
            <w:tcW w:w="19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val="0"/>
                <w:bCs w:val="0"/>
                <w:sz w:val="18"/>
                <w:szCs w:val="18"/>
              </w:rPr>
              <w:t>시설부대비</w:t>
            </w:r>
          </w:p>
        </w:tc>
        <w:tc>
          <w:tcPr>
            <w:tcW w:w="19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val="0"/>
                <w:bCs w:val="0"/>
                <w:sz w:val="18"/>
                <w:szCs w:val="18"/>
              </w:rPr>
              <w:t>4.0억</w:t>
            </w:r>
          </w:p>
        </w:tc>
        <w:tc>
          <w:tcPr>
            <w:tcW w:w="19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val="0"/>
                <w:bCs w:val="0"/>
                <w:sz w:val="18"/>
                <w:szCs w:val="18"/>
              </w:rPr>
              <w:t>2.7억</w:t>
            </w:r>
          </w:p>
        </w:tc>
        <w:tc>
          <w:tcPr>
            <w:tcW w:w="1188"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val="0"/>
                <w:bCs w:val="0"/>
                <w:sz w:val="18"/>
                <w:szCs w:val="18"/>
              </w:rPr>
              <w:t>68.3%</w:t>
            </w:r>
          </w:p>
        </w:tc>
        <w:tc>
          <w:tcPr>
            <w:tcW w:w="19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val="0"/>
                <w:bCs w:val="0"/>
                <w:sz w:val="18"/>
                <w:szCs w:val="18"/>
              </w:rPr>
              <w:t>1.2억</w:t>
            </w:r>
          </w:p>
        </w:tc>
      </w:tr>
      <w:tr>
        <w:trPr/>
        <w:tc>
          <w:tcPr>
            <w:tcW w:w="19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val="0"/>
                <w:bCs w:val="0"/>
                <w:sz w:val="18"/>
                <w:szCs w:val="18"/>
              </w:rPr>
              <w:t>계(3개 비목)</w:t>
            </w:r>
          </w:p>
        </w:tc>
        <w:tc>
          <w:tcPr>
            <w:tcW w:w="19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val="0"/>
                <w:bCs w:val="0"/>
                <w:sz w:val="18"/>
                <w:szCs w:val="18"/>
              </w:rPr>
              <w:t>3,153.7억</w:t>
            </w:r>
          </w:p>
        </w:tc>
        <w:tc>
          <w:tcPr>
            <w:tcW w:w="19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val="0"/>
                <w:bCs w:val="0"/>
                <w:sz w:val="18"/>
                <w:szCs w:val="18"/>
              </w:rPr>
              <w:t>2,116.7억</w:t>
            </w:r>
          </w:p>
        </w:tc>
        <w:tc>
          <w:tcPr>
            <w:tcW w:w="1188"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val="0"/>
                <w:bCs w:val="0"/>
                <w:sz w:val="18"/>
                <w:szCs w:val="18"/>
              </w:rPr>
              <w:t>67.1%</w:t>
            </w:r>
          </w:p>
        </w:tc>
        <w:tc>
          <w:tcPr>
            <w:tcW w:w="19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val="0"/>
                <w:bCs w:val="0"/>
                <w:sz w:val="18"/>
                <w:szCs w:val="18"/>
              </w:rPr>
              <w:t>1,036.9억</w:t>
            </w:r>
          </w:p>
        </w:tc>
      </w:tr>
    </w:tbl>
    <w:p>
      <w:pPr>
        <w:spacing w:after="0"/>
      </w:pPr>
    </w:p>
    <w:p>
      <w:pPr>
        <w:jc w:val="left"/>
        <w:spacing w:after="120" w:before="0" w:line="384" w:lineRule="auto"/>
      </w:pPr>
      <w:r>
        <w:rPr>
          <w:rFonts w:ascii="Arial" w:eastAsia="맑은 고딕" w:hAnsi="Arial"/>
          <w:b w:val="0"/>
          <w:bCs w:val="0"/>
          <w:sz w:val="16"/>
          <w:szCs w:val="16"/>
        </w:rPr>
        <w:t>출처: 2025회계연도 결산서 첨부서류 (14)-2 이월사유별 현황 (인쇄 266쪽)</w:t>
      </w:r>
    </w:p>
    <w:p>
      <w:pPr>
        <w:jc w:val="left"/>
        <w:spacing w:after="120" w:before="0" w:line="384" w:lineRule="auto"/>
      </w:pPr>
      <w:r>
        <w:rPr>
          <w:rFonts w:ascii="Arial" w:eastAsia="맑은 고딕" w:hAnsi="Arial"/>
          <w:b w:val="0"/>
          <w:bCs w:val="0"/>
          <w:sz w:val="16"/>
          <w:szCs w:val="16"/>
        </w:rPr>
        <w:t xml:space="preserve">주: 이 표는 시설비·감리비·시설부대비 3개 비목의 합계다. 여기에 '자치단체등자본이전'(예산 140.5억 → 변경 △90.35억 → 지출 50.18억)과 일반운영비·여비·업무추진비 등 소액 항목(지출 0.74억)을 더한 </w:t>
      </w:r>
      <w:r>
        <w:rPr>
          <w:rFonts w:ascii="Arial" w:eastAsia="맑은 고딕" w:hAnsi="Arial"/>
          <w:b/>
          <w:bCs/>
          <w:sz w:val="16"/>
          <w:szCs w:val="16"/>
        </w:rPr>
        <w:t>도시철도 2호선 건설 세부사업 전체</w:t>
      </w:r>
      <w:r>
        <w:rPr>
          <w:rFonts w:ascii="Arial" w:eastAsia="맑은 고딕" w:hAnsi="Arial"/>
          <w:b w:val="0"/>
          <w:bCs w:val="0"/>
          <w:sz w:val="16"/>
          <w:szCs w:val="16"/>
        </w:rPr>
        <w:t xml:space="preserve"> 기준으로는 예산현액 3,204.8억 원·지출 2,167.6억 원·집행률 </w:t>
      </w:r>
      <w:r>
        <w:rPr>
          <w:rFonts w:ascii="Arial" w:eastAsia="맑은 고딕" w:hAnsi="Arial"/>
          <w:b/>
          <w:bCs/>
          <w:sz w:val="16"/>
          <w:szCs w:val="16"/>
        </w:rPr>
        <w:t>67.6%</w:t>
      </w:r>
      <w:r>
        <w:rPr>
          <w:rFonts w:ascii="Arial" w:eastAsia="맑은 고딕" w:hAnsi="Arial"/>
          <w:b w:val="0"/>
          <w:bCs w:val="0"/>
          <w:sz w:val="16"/>
          <w:szCs w:val="16"/>
        </w:rPr>
        <w:t xml:space="preserve">가 된다(첨부 계속비 결산명세 인쇄 206~207쪽). 여기에 회계 안의 다른 소액 세부사업(약 6억 원)까지 더한 </w:t>
      </w:r>
      <w:r>
        <w:rPr>
          <w:rFonts w:ascii="Arial" w:eastAsia="맑은 고딕" w:hAnsi="Arial"/>
          <w:b/>
          <w:bCs/>
          <w:sz w:val="16"/>
          <w:szCs w:val="16"/>
        </w:rPr>
        <w:t>도시철도사업특별회계 전체</w:t>
      </w:r>
      <w:r>
        <w:rPr>
          <w:rFonts w:ascii="Arial" w:eastAsia="맑은 고딕" w:hAnsi="Arial"/>
          <w:b w:val="0"/>
          <w:bCs w:val="0"/>
          <w:sz w:val="16"/>
          <w:szCs w:val="16"/>
        </w:rPr>
        <w:t xml:space="preserve"> 기준이 표 5의 3,211억 원·2,173억 원·67.7%다. 세 기준이 함께 쓰이므로 인용할 때는 어느 기준인지 밝혀야 한다.</w:t>
      </w:r>
    </w:p>
    <w:p>
      <w:pPr>
        <w:ind w:firstLine="200"/>
        <w:jc w:val="both"/>
        <w:spacing w:after="60" w:before="0" w:line="384" w:lineRule="auto"/>
      </w:pPr>
      <w:r>
        <w:rPr>
          <w:rFonts w:ascii="Arial" w:eastAsia="맑은 고딕" w:hAnsi="Arial"/>
          <w:b w:val="0"/>
          <w:bCs w:val="0"/>
          <w:sz w:val="20"/>
          <w:szCs w:val="20"/>
        </w:rPr>
        <w:t>결산서에 기재된 이월 사유는 세 건 모두 다음 한 문장뿐이다.</w:t>
      </w:r>
    </w:p>
    <w:tbl>
      <w:tblPr>
        <w:tblW w:w="87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788"/>
      </w:tblGrid>
      <w:tr>
        <w:tc>
          <w:tcPr>
            <w:tcW w:w="8788" w:type="dxa"/>
            <w:tcBorders>
              <w:top w:val="single" w:sz="4" w:space="0" w:color="000000"/>
              <w:left w:val="single" w:sz="4" w:space="0" w:color="000000"/>
              <w:bottom w:val="single" w:sz="4" w:space="0" w:color="000000"/>
              <w:right w:val="single" w:sz="4" w:space="0" w:color="000000"/>
            </w:tcBorders>
            <w:tcMar>
              <w:top w:w="120" w:type="dxa"/>
              <w:left w:w="160" w:type="dxa"/>
              <w:bottom w:w="120" w:type="dxa"/>
              <w:right w:w="160" w:type="dxa"/>
            </w:tcMar>
          </w:tcPr>
          <w:p>
            <w:pPr>
              <w:jc w:val="both"/>
              <w:spacing w:after="0" w:line="384" w:lineRule="auto"/>
            </w:pPr>
            <w:r>
              <w:rPr>
                <w:rFonts w:ascii="Arial" w:eastAsia="맑은 고딕" w:hAnsi="Arial"/>
                <w:b w:val="0"/>
                <w:bCs w:val="0"/>
                <w:sz w:val="20"/>
                <w:szCs w:val="20"/>
              </w:rPr>
              <w:t>'&lt;'25. 계속비 예산&gt; 트램차량제작 및 공사 등 집행시기 미도래'</w:t>
            </w:r>
          </w:p>
        </w:tc>
      </w:tr>
    </w:tbl>
    <w:p>
      <w:pPr>
        <w:jc w:val="both"/>
        <w:spacing w:after="0" w:before="0" w:line="384" w:lineRule="auto"/>
      </w:pPr>
    </w:p>
    <w:p>
      <w:pPr>
        <w:ind w:firstLine="200"/>
        <w:jc w:val="both"/>
        <w:spacing w:after="60" w:before="0" w:line="384" w:lineRule="auto"/>
      </w:pPr>
      <w:r>
        <w:rPr>
          <w:rFonts w:ascii="Arial" w:eastAsia="맑은 고딕" w:hAnsi="Arial"/>
          <w:b w:val="0"/>
          <w:bCs w:val="0"/>
          <w:sz w:val="20"/>
          <w:szCs w:val="20"/>
        </w:rPr>
        <w:t>1,001억 원을 다음 해로 넘기면서 무엇이, 왜, 언제까지 미뤄졌는지에 대한 설명이 없다. 차량 제작과 공사 중 어느 쪽에서 얼마가 지연됐는지, 2026년에는 집행이 가능한지 판단할 근거가 결산서에 담겨 있지 않다.</w:t>
      </w:r>
    </w:p>
    <w:p>
      <w:pPr>
        <w:ind w:firstLine="200"/>
        <w:jc w:val="both"/>
        <w:spacing w:after="60" w:before="0" w:line="384" w:lineRule="auto"/>
      </w:pPr>
      <w:r>
        <w:rPr>
          <w:rFonts w:ascii="Arial" w:eastAsia="맑은 고딕" w:hAnsi="Arial"/>
          <w:b w:val="0"/>
          <w:bCs w:val="0"/>
          <w:sz w:val="20"/>
          <w:szCs w:val="20"/>
        </w:rPr>
        <w:t xml:space="preserve">이월액의 증가 속도도 주목할 만하다. 도시철도사업특별회계 이월액은 2024년 127.6억 원에서 2025년 1,037.3억 원으로 </w:t>
      </w:r>
      <w:r>
        <w:rPr>
          <w:rFonts w:ascii="Arial" w:eastAsia="맑은 고딕" w:hAnsi="Arial"/>
          <w:b/>
          <w:bCs/>
          <w:sz w:val="20"/>
          <w:szCs w:val="20"/>
        </w:rPr>
        <w:t>8.1배</w:t>
      </w:r>
      <w:r>
        <w:rPr>
          <w:rFonts w:ascii="Arial" w:eastAsia="맑은 고딕" w:hAnsi="Arial"/>
          <w:b w:val="0"/>
          <w:bCs w:val="0"/>
          <w:sz w:val="20"/>
          <w:szCs w:val="20"/>
        </w:rPr>
        <w:t xml:space="preserve"> 늘었다. 같은 기간 이 회계의 예산은 446억 원에서 3,211억 원으로 7.2배 늘었다. 예산을 크게 늘렸으나 집행이 그만큼 따라가지 못한 것이다.</w:t>
      </w:r>
    </w:p>
    <w:p>
      <w:pPr>
        <w:jc w:val="left"/>
        <w:spacing w:after="80" w:before="180" w:line="384" w:lineRule="auto"/>
      </w:pPr>
      <w:r>
        <w:rPr>
          <w:rFonts w:ascii="Arial" w:eastAsia="맑은 고딕" w:hAnsi="Arial"/>
          <w:b/>
          <w:bCs/>
          <w:sz w:val="20"/>
          <w:szCs w:val="20"/>
        </w:rPr>
        <w:t>1) 같은 해 지방채 973억 원</w:t>
      </w:r>
    </w:p>
    <w:p>
      <w:pPr>
        <w:ind w:firstLine="200"/>
        <w:jc w:val="both"/>
        <w:spacing w:after="60" w:before="0" w:line="384" w:lineRule="auto"/>
      </w:pPr>
      <w:r>
        <w:rPr>
          <w:rFonts w:ascii="Arial" w:eastAsia="맑은 고딕" w:hAnsi="Arial"/>
          <w:b w:val="0"/>
          <w:bCs w:val="0"/>
          <w:sz w:val="20"/>
          <w:szCs w:val="20"/>
        </w:rPr>
        <w:t xml:space="preserve">2025년 도시철도사업특별회계는 지방채 973억 원을 발행했다. 회계의 채무 잔액은 2024년 말 158억 원에서 2025년 말 </w:t>
      </w:r>
      <w:r>
        <w:rPr>
          <w:rFonts w:ascii="Arial" w:eastAsia="맑은 고딕" w:hAnsi="Arial"/>
          <w:b/>
          <w:bCs/>
          <w:sz w:val="20"/>
          <w:szCs w:val="20"/>
        </w:rPr>
        <w:t>1,129억 원</w:t>
      </w:r>
      <w:r>
        <w:rPr>
          <w:rFonts w:ascii="Arial" w:eastAsia="맑은 고딕" w:hAnsi="Arial"/>
          <w:b w:val="0"/>
          <w:bCs w:val="0"/>
          <w:sz w:val="20"/>
          <w:szCs w:val="20"/>
        </w:rPr>
        <w:t>이 됐다.</w:t>
      </w:r>
    </w:p>
    <w:p>
      <w:pPr>
        <w:jc w:val="center"/>
        <w:spacing w:after="60" w:before="160" w:line="384" w:lineRule="auto"/>
      </w:pPr>
      <w:r>
        <w:rPr>
          <w:rFonts w:ascii="Arial" w:eastAsia="맑은 고딕" w:hAnsi="Arial"/>
          <w:b/>
          <w:bCs/>
          <w:sz w:val="20"/>
          <w:szCs w:val="20"/>
        </w:rPr>
        <w:t>&lt;표 10&gt; 2025년 도시철도 2호선 관련 지방채 발행</w:t>
      </w:r>
    </w:p>
    <w:tbl>
      <w:tblPr>
        <w:tblW w:w="87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30"/>
        <w:gridCol w:w="703"/>
        <w:gridCol w:w="1933"/>
        <w:gridCol w:w="2109"/>
        <w:gridCol w:w="2813"/>
      </w:tblGrid>
      <w:tr>
        <w:trPr>
          <w:tblHeader/>
        </w:trPr>
        <w:tc>
          <w:tcPr>
            <w:tcW w:w="123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center"/>
              <w:spacing w:after="0" w:line="264" w:lineRule="auto"/>
            </w:pPr>
            <w:r>
              <w:rPr>
                <w:rFonts w:ascii="Arial" w:eastAsia="맑은 고딕" w:hAnsi="Arial"/>
                <w:b/>
                <w:bCs/>
                <w:sz w:val="18"/>
                <w:szCs w:val="18"/>
              </w:rPr>
              <w:t>발행일</w:t>
            </w:r>
          </w:p>
        </w:tc>
        <w:tc>
          <w:tcPr>
            <w:tcW w:w="703"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center"/>
              <w:spacing w:after="0" w:line="264" w:lineRule="auto"/>
            </w:pPr>
            <w:r>
              <w:rPr>
                <w:rFonts w:ascii="Arial" w:eastAsia="맑은 고딕" w:hAnsi="Arial"/>
                <w:b/>
                <w:bCs/>
                <w:sz w:val="18"/>
                <w:szCs w:val="18"/>
              </w:rPr>
              <w:t>금액</w:t>
            </w:r>
          </w:p>
        </w:tc>
        <w:tc>
          <w:tcPr>
            <w:tcW w:w="1933"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center"/>
              <w:spacing w:after="0" w:line="264" w:lineRule="auto"/>
            </w:pPr>
            <w:r>
              <w:rPr>
                <w:rFonts w:ascii="Arial" w:eastAsia="맑은 고딕" w:hAnsi="Arial"/>
                <w:b/>
                <w:bCs/>
                <w:sz w:val="18"/>
                <w:szCs w:val="18"/>
              </w:rPr>
              <w:t>이율</w:t>
            </w:r>
          </w:p>
        </w:tc>
        <w:tc>
          <w:tcPr>
            <w:tcW w:w="2109"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center"/>
              <w:spacing w:after="0" w:line="264" w:lineRule="auto"/>
            </w:pPr>
            <w:r>
              <w:rPr>
                <w:rFonts w:ascii="Arial" w:eastAsia="맑은 고딕" w:hAnsi="Arial"/>
                <w:b/>
                <w:bCs/>
                <w:sz w:val="18"/>
                <w:szCs w:val="18"/>
              </w:rPr>
              <w:t>조건</w:t>
            </w:r>
          </w:p>
        </w:tc>
        <w:tc>
          <w:tcPr>
            <w:tcW w:w="2813"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center"/>
              <w:spacing w:after="0" w:line="264" w:lineRule="auto"/>
            </w:pPr>
            <w:r>
              <w:rPr>
                <w:rFonts w:ascii="Arial" w:eastAsia="맑은 고딕" w:hAnsi="Arial"/>
                <w:b/>
                <w:bCs/>
                <w:sz w:val="18"/>
                <w:szCs w:val="18"/>
              </w:rPr>
              <w:t>2025년 귀속 이자 [추정]</w:t>
            </w:r>
          </w:p>
        </w:tc>
      </w:tr>
      <w:tr>
        <w:trPr/>
        <w:tc>
          <w:tcPr>
            <w:tcW w:w="123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val="0"/>
                <w:bCs w:val="0"/>
                <w:sz w:val="18"/>
                <w:szCs w:val="18"/>
              </w:rPr>
              <w:t>7월 25일</w:t>
            </w:r>
          </w:p>
        </w:tc>
        <w:tc>
          <w:tcPr>
            <w:tcW w:w="703"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val="0"/>
                <w:bCs w:val="0"/>
                <w:sz w:val="18"/>
                <w:szCs w:val="18"/>
              </w:rPr>
              <w:t>305억</w:t>
            </w:r>
          </w:p>
        </w:tc>
        <w:tc>
          <w:tcPr>
            <w:tcW w:w="1933"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val="0"/>
                <w:bCs w:val="0"/>
                <w:sz w:val="18"/>
                <w:szCs w:val="18"/>
              </w:rPr>
              <w:t>2.75%</w:t>
            </w:r>
          </w:p>
        </w:tc>
        <w:tc>
          <w:tcPr>
            <w:tcW w:w="2109"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val="0"/>
                <w:bCs w:val="0"/>
                <w:sz w:val="18"/>
                <w:szCs w:val="18"/>
              </w:rPr>
              <w:t>2년 거치 8년 상환</w:t>
            </w:r>
          </w:p>
        </w:tc>
        <w:tc>
          <w:tcPr>
            <w:tcW w:w="2813"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val="0"/>
                <w:bCs w:val="0"/>
                <w:sz w:val="18"/>
                <w:szCs w:val="18"/>
              </w:rPr>
              <w:t>3.65억 (159일)</w:t>
            </w:r>
          </w:p>
        </w:tc>
      </w:tr>
      <w:tr>
        <w:trPr/>
        <w:tc>
          <w:tcPr>
            <w:tcW w:w="123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val="0"/>
                <w:bCs w:val="0"/>
                <w:sz w:val="18"/>
                <w:szCs w:val="18"/>
              </w:rPr>
              <w:t>8월 27일</w:t>
            </w:r>
          </w:p>
        </w:tc>
        <w:tc>
          <w:tcPr>
            <w:tcW w:w="703"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val="0"/>
                <w:bCs w:val="0"/>
                <w:sz w:val="18"/>
                <w:szCs w:val="18"/>
              </w:rPr>
              <w:t>78억</w:t>
            </w:r>
          </w:p>
        </w:tc>
        <w:tc>
          <w:tcPr>
            <w:tcW w:w="1933"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val="0"/>
                <w:bCs w:val="0"/>
                <w:sz w:val="18"/>
                <w:szCs w:val="18"/>
              </w:rPr>
              <w:t>3.123%</w:t>
            </w:r>
          </w:p>
        </w:tc>
        <w:tc>
          <w:tcPr>
            <w:tcW w:w="2109"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val="0"/>
                <w:bCs w:val="0"/>
                <w:sz w:val="18"/>
                <w:szCs w:val="18"/>
              </w:rPr>
              <w:t>5년 거치 10년 상환</w:t>
            </w:r>
          </w:p>
        </w:tc>
        <w:tc>
          <w:tcPr>
            <w:tcW w:w="2813"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val="0"/>
                <w:bCs w:val="0"/>
                <w:sz w:val="18"/>
                <w:szCs w:val="18"/>
              </w:rPr>
              <w:t>0.84억 (126일)</w:t>
            </w:r>
          </w:p>
        </w:tc>
      </w:tr>
      <w:tr>
        <w:trPr/>
        <w:tc>
          <w:tcPr>
            <w:tcW w:w="123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val="0"/>
                <w:bCs w:val="0"/>
                <w:sz w:val="18"/>
                <w:szCs w:val="18"/>
              </w:rPr>
              <w:t>12월 22일</w:t>
            </w:r>
          </w:p>
        </w:tc>
        <w:tc>
          <w:tcPr>
            <w:tcW w:w="703"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val="0"/>
                <w:bCs w:val="0"/>
                <w:sz w:val="18"/>
                <w:szCs w:val="18"/>
              </w:rPr>
              <w:t>590억</w:t>
            </w:r>
          </w:p>
        </w:tc>
        <w:tc>
          <w:tcPr>
            <w:tcW w:w="1933"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val="0"/>
                <w:bCs w:val="0"/>
                <w:sz w:val="18"/>
                <w:szCs w:val="18"/>
              </w:rPr>
              <w:t>2.71%</w:t>
            </w:r>
          </w:p>
        </w:tc>
        <w:tc>
          <w:tcPr>
            <w:tcW w:w="2109"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val="0"/>
                <w:bCs w:val="0"/>
                <w:sz w:val="18"/>
                <w:szCs w:val="18"/>
              </w:rPr>
              <w:t>5년 거치 10년 상환</w:t>
            </w:r>
          </w:p>
        </w:tc>
        <w:tc>
          <w:tcPr>
            <w:tcW w:w="2813"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val="0"/>
                <w:bCs w:val="0"/>
                <w:sz w:val="18"/>
                <w:szCs w:val="18"/>
              </w:rPr>
              <w:t>0.39억 (9일)</w:t>
            </w:r>
          </w:p>
        </w:tc>
      </w:tr>
      <w:tr>
        <w:trPr/>
        <w:tc>
          <w:tcPr>
            <w:tcW w:w="123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bCs/>
                <w:sz w:val="18"/>
                <w:szCs w:val="18"/>
              </w:rPr>
              <w:t>계</w:t>
            </w:r>
          </w:p>
        </w:tc>
        <w:tc>
          <w:tcPr>
            <w:tcW w:w="703"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bCs/>
                <w:sz w:val="18"/>
                <w:szCs w:val="18"/>
              </w:rPr>
              <w:t>973억</w:t>
            </w:r>
          </w:p>
        </w:tc>
        <w:tc>
          <w:tcPr>
            <w:tcW w:w="1933"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val="0"/>
                <w:bCs w:val="0"/>
                <w:sz w:val="18"/>
                <w:szCs w:val="18"/>
              </w:rPr>
              <w:t>가중평균 2.756%</w:t>
            </w:r>
          </w:p>
        </w:tc>
        <w:tc>
          <w:tcPr>
            <w:tcW w:w="2109"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val="0"/>
                <w:bCs w:val="0"/>
                <w:sz w:val="18"/>
                <w:szCs w:val="18"/>
              </w:rPr>
              <w:t>–</w:t>
            </w:r>
          </w:p>
        </w:tc>
        <w:tc>
          <w:tcPr>
            <w:tcW w:w="2813"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bCs/>
                <w:sz w:val="18"/>
                <w:szCs w:val="18"/>
              </w:rPr>
              <w:t>약 4.89억</w:t>
            </w:r>
          </w:p>
        </w:tc>
      </w:tr>
    </w:tbl>
    <w:p>
      <w:pPr>
        <w:spacing w:after="0"/>
      </w:pPr>
    </w:p>
    <w:p>
      <w:pPr>
        <w:jc w:val="left"/>
        <w:spacing w:after="120" w:before="0" w:line="384" w:lineRule="auto"/>
      </w:pPr>
      <w:r>
        <w:rPr>
          <w:rFonts w:ascii="Arial" w:eastAsia="맑은 고딕" w:hAnsi="Arial"/>
          <w:b w:val="0"/>
          <w:bCs w:val="0"/>
          <w:sz w:val="16"/>
          <w:szCs w:val="16"/>
        </w:rPr>
        <w:t>출처: 2025회계연도 결산서 첨부서류 지방채 발행보고서(인쇄 551~554쪽). 2025년 귀속 이자는 발행 다음날부터 12월 31일까지 실제 경과일수를 365일로 나눈 일수 계산 [추정].</w:t>
      </w:r>
    </w:p>
    <w:p>
      <w:pPr>
        <w:ind w:firstLine="200"/>
        <w:jc w:val="both"/>
        <w:spacing w:after="60" w:before="0" w:line="384" w:lineRule="auto"/>
      </w:pPr>
      <w:r>
        <w:rPr>
          <w:rFonts w:ascii="Arial" w:eastAsia="맑은 고딕" w:hAnsi="Arial"/>
          <w:b w:val="0"/>
          <w:bCs w:val="0"/>
          <w:sz w:val="20"/>
          <w:szCs w:val="20"/>
        </w:rPr>
        <w:t>이자 부담은 다음과 같다 [추정].</w:t>
      </w:r>
    </w:p>
    <w:p>
      <w:pPr>
        <w:ind w:left="300" w:hanging="200"/>
        <w:jc w:val="both"/>
        <w:spacing w:after="60" w:before="0" w:line="384" w:lineRule="auto"/>
      </w:pPr>
      <w:r>
        <w:rPr>
          <w:rFonts w:ascii="Arial" w:eastAsia="맑은 고딕" w:hAnsi="Arial"/>
          <w:b w:val="0"/>
          <w:bCs w:val="0"/>
          <w:sz w:val="20"/>
          <w:szCs w:val="20"/>
        </w:rPr>
        <w:t xml:space="preserve">● </w:t>
      </w:r>
      <w:r>
        <w:rPr>
          <w:rFonts w:ascii="Arial" w:eastAsia="맑은 고딕" w:hAnsi="Arial"/>
          <w:b/>
          <w:bCs/>
          <w:sz w:val="20"/>
          <w:szCs w:val="20"/>
        </w:rPr>
        <w:t>거치기간 중 연간 이자</w:t>
      </w:r>
      <w:r>
        <w:rPr>
          <w:rFonts w:ascii="Arial" w:eastAsia="맑은 고딕" w:hAnsi="Arial"/>
          <w:b w:val="0"/>
          <w:bCs w:val="0"/>
          <w:sz w:val="20"/>
          <w:szCs w:val="20"/>
        </w:rPr>
        <w:t xml:space="preserve">: 973억 원 전액 기준 </w:t>
      </w:r>
      <w:r>
        <w:rPr>
          <w:rFonts w:ascii="Arial" w:eastAsia="맑은 고딕" w:hAnsi="Arial"/>
          <w:b/>
          <w:bCs/>
          <w:sz w:val="20"/>
          <w:szCs w:val="20"/>
        </w:rPr>
        <w:t>약 26.8억 원/년</w:t>
      </w:r>
    </w:p>
    <w:p>
      <w:pPr>
        <w:ind w:left="300" w:hanging="200"/>
        <w:jc w:val="both"/>
        <w:spacing w:after="60" w:before="0" w:line="384" w:lineRule="auto"/>
      </w:pPr>
      <w:r>
        <w:rPr>
          <w:rFonts w:ascii="Arial" w:eastAsia="맑은 고딕" w:hAnsi="Arial"/>
          <w:b w:val="0"/>
          <w:bCs w:val="0"/>
          <w:sz w:val="20"/>
          <w:szCs w:val="20"/>
        </w:rPr>
        <w:t xml:space="preserve">● </w:t>
      </w:r>
      <w:r>
        <w:rPr>
          <w:rFonts w:ascii="Arial" w:eastAsia="맑은 고딕" w:hAnsi="Arial"/>
          <w:b/>
          <w:bCs/>
          <w:sz w:val="20"/>
          <w:szCs w:val="20"/>
        </w:rPr>
        <w:t>만기까지 총 이자</w:t>
      </w:r>
      <w:r>
        <w:rPr>
          <w:rFonts w:ascii="Arial" w:eastAsia="맑은 고딕" w:hAnsi="Arial"/>
          <w:b w:val="0"/>
          <w:bCs w:val="0"/>
          <w:sz w:val="20"/>
          <w:szCs w:val="20"/>
        </w:rPr>
        <w:t xml:space="preserve">: 약 </w:t>
      </w:r>
      <w:r>
        <w:rPr>
          <w:rFonts w:ascii="Arial" w:eastAsia="맑은 고딕" w:hAnsi="Arial"/>
          <w:b/>
          <w:bCs/>
          <w:sz w:val="20"/>
          <w:szCs w:val="20"/>
        </w:rPr>
        <w:t>248억 원</w:t>
      </w:r>
      <w:r>
        <w:rPr>
          <w:rFonts w:ascii="Arial" w:eastAsia="맑은 고딕" w:hAnsi="Arial"/>
          <w:b w:val="0"/>
          <w:bCs w:val="0"/>
          <w:sz w:val="20"/>
          <w:szCs w:val="20"/>
        </w:rPr>
        <w:t xml:space="preserve"> (원금균등분할상환 가정. 결산서에 상환 방식이 명시되지 않아 관행을 가정했다)</w:t>
      </w:r>
    </w:p>
    <w:p>
      <w:pPr>
        <w:ind w:left="300" w:hanging="200"/>
        <w:jc w:val="both"/>
        <w:spacing w:after="60" w:before="0" w:line="384" w:lineRule="auto"/>
      </w:pPr>
      <w:r>
        <w:rPr>
          <w:rFonts w:ascii="Arial" w:eastAsia="맑은 고딕" w:hAnsi="Arial"/>
          <w:b w:val="0"/>
          <w:bCs w:val="0"/>
          <w:sz w:val="20"/>
          <w:szCs w:val="20"/>
        </w:rPr>
        <w:t>● 도시철도사업특별회계 채무 잔액 1,129억 원 전체로는 연 약 31억 원</w:t>
      </w:r>
    </w:p>
    <w:p>
      <w:pPr>
        <w:ind w:left="300" w:hanging="200"/>
        <w:jc w:val="both"/>
        <w:spacing w:after="60" w:before="0" w:line="384" w:lineRule="auto"/>
      </w:pPr>
      <w:r>
        <w:rPr>
          <w:rFonts w:ascii="Arial" w:eastAsia="맑은 고딕" w:hAnsi="Arial"/>
          <w:b w:val="0"/>
          <w:bCs w:val="0"/>
          <w:sz w:val="20"/>
          <w:szCs w:val="20"/>
        </w:rPr>
        <w:t>● 참고로 2025년 발행 지방채 전체(37건 3,426억 원)의 가중평균 이율은 2.63%이며, 연간 이자는 약 90억 원 규모다</w:t>
      </w:r>
    </w:p>
    <w:p>
      <w:pPr>
        <w:jc w:val="left"/>
        <w:spacing w:after="80" w:before="180" w:line="384" w:lineRule="auto"/>
      </w:pPr>
      <w:r>
        <w:rPr>
          <w:rFonts w:ascii="Arial" w:eastAsia="맑은 고딕" w:hAnsi="Arial"/>
          <w:b/>
          <w:bCs/>
          <w:sz w:val="20"/>
          <w:szCs w:val="20"/>
        </w:rPr>
        <w:t>2) 집행잔액과 이자비용의 상관성</w:t>
      </w:r>
    </w:p>
    <w:p>
      <w:pPr>
        <w:ind w:left="300" w:hanging="200"/>
        <w:jc w:val="both"/>
        <w:spacing w:after="60" w:before="0" w:line="384" w:lineRule="auto"/>
      </w:pPr>
      <w:r>
        <w:rPr>
          <w:rFonts w:ascii="Arial" w:eastAsia="맑은 고딕" w:hAnsi="Arial"/>
          <w:b w:val="0"/>
          <w:bCs w:val="0"/>
          <w:sz w:val="20"/>
          <w:szCs w:val="20"/>
        </w:rPr>
        <w:t>● 트램 시비 재원의 집행률은 21.6%(1,231.5억 중 266.5억)에 그쳤고 964.8억 원이 이월됐다.</w:t>
      </w:r>
    </w:p>
    <w:p>
      <w:pPr>
        <w:ind w:left="300" w:hanging="200"/>
        <w:jc w:val="both"/>
        <w:spacing w:after="60" w:before="0" w:line="384" w:lineRule="auto"/>
      </w:pPr>
      <w:r>
        <w:rPr>
          <w:rFonts w:ascii="Arial" w:eastAsia="맑은 고딕" w:hAnsi="Arial"/>
          <w:b w:val="0"/>
          <w:bCs w:val="0"/>
          <w:sz w:val="20"/>
          <w:szCs w:val="20"/>
        </w:rPr>
        <w:t>● 지방채 973억 원은 전액 하반기(7월·8월·12월)에 발행됐다.</w:t>
      </w:r>
    </w:p>
    <w:p>
      <w:pPr>
        <w:ind w:left="300" w:hanging="200"/>
        <w:jc w:val="both"/>
        <w:spacing w:after="60" w:before="0" w:line="384" w:lineRule="auto"/>
      </w:pPr>
      <w:r>
        <w:rPr>
          <w:rFonts w:ascii="Arial" w:eastAsia="맑은 고딕" w:hAnsi="Arial"/>
          <w:b w:val="0"/>
          <w:bCs w:val="0"/>
          <w:sz w:val="20"/>
          <w:szCs w:val="20"/>
        </w:rPr>
        <w:t xml:space="preserve">● 계속비이월액 가운데 </w:t>
      </w:r>
      <w:r>
        <w:rPr>
          <w:rFonts w:ascii="Arial" w:eastAsia="맑은 고딕" w:hAnsi="Arial"/>
          <w:b/>
          <w:bCs/>
          <w:sz w:val="20"/>
          <w:szCs w:val="20"/>
        </w:rPr>
        <w:t>249.43억 원이 '자금없는 이월'</w:t>
      </w:r>
      <w:r>
        <w:rPr>
          <w:rFonts w:ascii="Arial" w:eastAsia="맑은 고딕" w:hAnsi="Arial"/>
          <w:b w:val="0"/>
          <w:bCs w:val="0"/>
          <w:sz w:val="20"/>
          <w:szCs w:val="20"/>
        </w:rPr>
        <w:t>로 표기돼 있다. 세입이 뒤따르지 못한 이월이라는 뜻이다.</w:t>
      </w:r>
    </w:p>
    <w:p>
      <w:pPr>
        <w:ind w:left="300" w:hanging="200"/>
        <w:jc w:val="both"/>
        <w:spacing w:after="60" w:before="0" w:line="384" w:lineRule="auto"/>
      </w:pPr>
      <w:r>
        <w:rPr>
          <w:rFonts w:ascii="Arial" w:eastAsia="맑은 고딕" w:hAnsi="Arial"/>
          <w:b w:val="0"/>
          <w:bCs w:val="0"/>
          <w:sz w:val="20"/>
          <w:szCs w:val="20"/>
        </w:rPr>
        <w:t xml:space="preserve">● </w:t>
      </w:r>
      <w:r>
        <w:rPr>
          <w:rFonts w:ascii="Arial" w:eastAsia="맑은 고딕" w:hAnsi="Arial"/>
          <w:b/>
          <w:bCs/>
          <w:sz w:val="20"/>
          <w:szCs w:val="20"/>
        </w:rPr>
        <w:t>12월 22일 발행한 590억 원은 연말까지 9일</w:t>
      </w:r>
      <w:r>
        <w:rPr>
          <w:rFonts w:ascii="Arial" w:eastAsia="맑은 고딕" w:hAnsi="Arial"/>
          <w:b w:val="0"/>
          <w:bCs w:val="0"/>
          <w:sz w:val="20"/>
          <w:szCs w:val="20"/>
        </w:rPr>
        <w:t>밖에 남지 않은 시점의 조달이었다. 지방자치단체의 공사비 지급은 계약·기성검사·지출결의 절차를 거치므로 9일 안에 실제 지출로 이어지기는 사실상 어렵다.</w:t>
      </w:r>
    </w:p>
    <w:p>
      <w:pPr>
        <w:ind w:firstLine="200"/>
        <w:jc w:val="both"/>
        <w:spacing w:after="60" w:before="0" w:line="384" w:lineRule="auto"/>
      </w:pPr>
      <w:r>
        <w:rPr>
          <w:rFonts w:ascii="Arial" w:eastAsia="맑은 고딕" w:hAnsi="Arial"/>
          <w:b w:val="0"/>
          <w:bCs w:val="0"/>
          <w:sz w:val="20"/>
          <w:szCs w:val="20"/>
        </w:rPr>
        <w:t xml:space="preserve">도시철도사업특별회계의 2025년 </w:t>
      </w:r>
      <w:r>
        <w:rPr>
          <w:rFonts w:ascii="Arial" w:eastAsia="맑은 고딕" w:hAnsi="Arial"/>
          <w:b/>
          <w:bCs/>
          <w:sz w:val="20"/>
          <w:szCs w:val="20"/>
        </w:rPr>
        <w:t>순세계잉여금은 702원, 사실상 0원</w:t>
      </w:r>
      <w:r>
        <w:rPr>
          <w:rFonts w:ascii="Arial" w:eastAsia="맑은 고딕" w:hAnsi="Arial"/>
          <w:b w:val="0"/>
          <w:bCs w:val="0"/>
          <w:sz w:val="20"/>
          <w:szCs w:val="20"/>
        </w:rPr>
        <w:t xml:space="preserve">이다. 오히려 계획한 세입이 </w:t>
      </w:r>
      <w:r>
        <w:rPr>
          <w:rFonts w:ascii="Arial" w:eastAsia="맑은 고딕" w:hAnsi="Arial"/>
          <w:b/>
          <w:bCs/>
          <w:sz w:val="20"/>
          <w:szCs w:val="20"/>
        </w:rPr>
        <w:t>249.66억 원 부족</w:t>
      </w:r>
      <w:r>
        <w:rPr>
          <w:rFonts w:ascii="Arial" w:eastAsia="맑은 고딕" w:hAnsi="Arial"/>
          <w:b w:val="0"/>
          <w:bCs w:val="0"/>
          <w:sz w:val="20"/>
          <w:szCs w:val="20"/>
        </w:rPr>
        <w:t>했다. 즉 이 회계에 쓰지 않은 현금이 남아돌았다고 보기 어렵다. "빌려서 예치해 두고 이자만 물었다"는 식의 해석은 어렵다.</w:t>
      </w:r>
    </w:p>
    <w:p>
      <w:pPr>
        <w:ind w:firstLine="200"/>
        <w:jc w:val="both"/>
        <w:spacing w:after="60" w:before="0" w:line="384" w:lineRule="auto"/>
      </w:pPr>
      <w:r>
        <w:rPr>
          <w:rFonts w:ascii="Arial" w:eastAsia="맑은 고딕" w:hAnsi="Arial"/>
          <w:b w:val="0"/>
          <w:bCs w:val="0"/>
          <w:sz w:val="20"/>
          <w:szCs w:val="20"/>
        </w:rPr>
        <w:t xml:space="preserve">또한 결산서에 기재된 이 회계의 2025년 실제 이자 지출은 </w:t>
      </w:r>
      <w:r>
        <w:rPr>
          <w:rFonts w:ascii="Arial" w:eastAsia="맑은 고딕" w:hAnsi="Arial"/>
          <w:b/>
          <w:bCs/>
          <w:sz w:val="20"/>
          <w:szCs w:val="20"/>
        </w:rPr>
        <w:t>3억 7,472만 원</w:t>
      </w:r>
      <w:r>
        <w:rPr>
          <w:rFonts w:ascii="Arial" w:eastAsia="맑은 고딕" w:hAnsi="Arial"/>
          <w:b w:val="0"/>
          <w:bCs w:val="0"/>
          <w:sz w:val="20"/>
          <w:szCs w:val="20"/>
        </w:rPr>
        <w:t xml:space="preserve">(차입금이자상환 예산 3.76억 원 대비)이다. 연초에 편성한 예산과 거의 같은 금액이어서, 하반기에 새로 발행한 973억 원의 이자가 아니라 </w:t>
      </w:r>
      <w:r>
        <w:rPr>
          <w:rFonts w:ascii="Arial" w:eastAsia="맑은 고딕" w:hAnsi="Arial"/>
          <w:b/>
          <w:bCs/>
          <w:sz w:val="20"/>
          <w:szCs w:val="20"/>
        </w:rPr>
        <w:t>기존 채무의 이자로 보인다</w:t>
      </w:r>
      <w:r>
        <w:rPr>
          <w:rFonts w:ascii="Arial" w:eastAsia="맑은 고딕" w:hAnsi="Arial"/>
          <w:b w:val="0"/>
          <w:bCs w:val="0"/>
          <w:sz w:val="20"/>
          <w:szCs w:val="20"/>
        </w:rPr>
        <w:t>. 신규 발행분의 이자는 2026년 결산에 나타날 가능성이 크다.</w:t>
      </w:r>
    </w:p>
    <w:p>
      <w:pPr>
        <w:ind w:firstLine="200"/>
        <w:jc w:val="both"/>
        <w:spacing w:after="60" w:before="0" w:line="384" w:lineRule="auto"/>
      </w:pPr>
      <w:r>
        <w:rPr>
          <w:rFonts w:ascii="Arial" w:eastAsia="맑은 고딕" w:hAnsi="Arial"/>
          <w:b/>
          <w:bCs/>
          <w:sz w:val="20"/>
          <w:szCs w:val="20"/>
        </w:rPr>
        <w:t>시의회 결산 심의과정에서 질의로 확인해야 하는 것</w:t>
      </w:r>
    </w:p>
    <w:p>
      <w:pPr>
        <w:ind w:left="300" w:hanging="200"/>
        <w:jc w:val="both"/>
        <w:spacing w:after="60" w:before="0" w:line="384" w:lineRule="auto"/>
      </w:pPr>
      <w:r>
        <w:rPr>
          <w:rFonts w:ascii="Arial" w:eastAsia="맑은 고딕" w:hAnsi="Arial"/>
          <w:b w:val="0"/>
          <w:bCs w:val="0"/>
          <w:sz w:val="20"/>
          <w:szCs w:val="20"/>
        </w:rPr>
        <w:t>● 왜 12월 22일에 590억 원을 발행해야 했는가. 그 시점의 자금 계획상 필요는 무엇이었는가.</w:t>
      </w:r>
    </w:p>
    <w:p>
      <w:pPr>
        <w:ind w:left="300" w:hanging="200"/>
        <w:jc w:val="both"/>
        <w:spacing w:after="60" w:before="0" w:line="384" w:lineRule="auto"/>
      </w:pPr>
      <w:r>
        <w:rPr>
          <w:rFonts w:ascii="Arial" w:eastAsia="맑은 고딕" w:hAnsi="Arial"/>
          <w:b w:val="0"/>
          <w:bCs w:val="0"/>
          <w:sz w:val="20"/>
          <w:szCs w:val="20"/>
        </w:rPr>
        <w:t>● 신규 발행 973억 원이 실제로 언제·어느 지출에 쓰였는가. 지방채 발행보고서의 사업명 표기는 예산 편성의 재원 배정일 뿐이고, 자치단체 회계는 계정별로 자금을 통합 관리하므로 특정 채권과 특정 지출의 대응 관계는 결산서로 추적할 수 없다.</w:t>
      </w:r>
    </w:p>
    <w:p>
      <w:pPr>
        <w:ind w:left="300" w:hanging="200"/>
        <w:jc w:val="both"/>
        <w:spacing w:after="60" w:before="0" w:line="384" w:lineRule="auto"/>
      </w:pPr>
      <w:r>
        <w:rPr>
          <w:rFonts w:ascii="Arial" w:eastAsia="맑은 고딕" w:hAnsi="Arial"/>
          <w:b w:val="0"/>
          <w:bCs w:val="0"/>
          <w:sz w:val="20"/>
          <w:szCs w:val="20"/>
        </w:rPr>
        <w:t>● 신규 채권의 첫 이자 지급일과 금액은 얼마인가.</w:t>
      </w:r>
    </w:p>
    <w:p>
      <w:pPr>
        <w:ind w:firstLine="200"/>
        <w:jc w:val="both"/>
        <w:spacing w:after="60" w:before="0" w:line="384" w:lineRule="auto"/>
      </w:pPr>
      <w:r>
        <w:rPr>
          <w:rFonts w:ascii="Arial" w:eastAsia="맑은 고딕" w:hAnsi="Arial"/>
          <w:b w:val="0"/>
          <w:bCs w:val="0"/>
          <w:sz w:val="20"/>
          <w:szCs w:val="20"/>
        </w:rPr>
        <w:t xml:space="preserve">대전시는 트램 재원을 하반기에 몰아 조달했지만 실제 집행은 계획에 크게 못 미쳤고, 그 결과 249억 원 규모의 자금 뒷받침 없는 이월이 생겼다. </w:t>
      </w:r>
      <w:r>
        <w:rPr>
          <w:rFonts w:ascii="Arial" w:eastAsia="맑은 고딕" w:hAnsi="Arial"/>
          <w:b/>
          <w:bCs/>
          <w:sz w:val="20"/>
          <w:szCs w:val="20"/>
        </w:rPr>
        <w:t>조달 시점과 지출 시점의 괴리가 있었다는 정황은 뚜렷하다.</w:t>
      </w:r>
      <w:r>
        <w:rPr>
          <w:rFonts w:ascii="Arial" w:eastAsia="맑은 고딕" w:hAnsi="Arial"/>
          <w:b w:val="0"/>
          <w:bCs w:val="0"/>
          <w:sz w:val="20"/>
          <w:szCs w:val="20"/>
        </w:rPr>
        <w:t xml:space="preserve"> 다만 그것이 얼마의 불필요한 이자를 낳았는지는 결산서만으로 확정할 수 없다. 이 지점이 결산심사에서 자금 흐름 자료로 확인되어야 하는 대목이다.</w:t>
      </w:r>
    </w:p>
    <w:p>
      <w:pPr>
        <w:jc w:val="left"/>
        <w:spacing w:after="100" w:before="240" w:line="384" w:lineRule="auto"/>
      </w:pPr>
      <w:r>
        <w:rPr>
          <w:rFonts w:ascii="Arial" w:eastAsia="맑은 고딕" w:hAnsi="Arial"/>
          <w:b/>
          <w:bCs/>
          <w:sz w:val="22"/>
          <w:szCs w:val="22"/>
        </w:rPr>
        <w:t>2. 하수도 이월 719억 원 — 재이월의 반복</w:t>
      </w:r>
    </w:p>
    <w:p>
      <w:pPr>
        <w:ind w:firstLine="200"/>
        <w:jc w:val="both"/>
        <w:spacing w:after="60" w:before="0" w:line="384" w:lineRule="auto"/>
      </w:pPr>
      <w:r>
        <w:rPr>
          <w:rFonts w:ascii="Arial" w:eastAsia="맑은 고딕" w:hAnsi="Arial"/>
          <w:b w:val="0"/>
          <w:bCs w:val="0"/>
          <w:sz w:val="20"/>
          <w:szCs w:val="20"/>
        </w:rPr>
        <w:t>하수도사업특별회계의 이월액은 719억 원이며, 이 가운데 704억 원(98%)이 계속비이월이다.</w:t>
      </w:r>
    </w:p>
    <w:p>
      <w:pPr>
        <w:ind w:firstLine="200"/>
        <w:jc w:val="both"/>
        <w:spacing w:after="60" w:before="0" w:line="384" w:lineRule="auto"/>
      </w:pPr>
      <w:r>
        <w:rPr>
          <w:rFonts w:ascii="Arial" w:eastAsia="맑은 고딕" w:hAnsi="Arial"/>
          <w:b w:val="0"/>
          <w:bCs w:val="0"/>
          <w:sz w:val="20"/>
          <w:szCs w:val="20"/>
        </w:rPr>
        <w:t xml:space="preserve">이 704억 원의 사업별 내역과 이월 사유는 </w:t>
      </w:r>
      <w:r>
        <w:rPr>
          <w:rFonts w:ascii="Arial" w:eastAsia="맑은 고딕" w:hAnsi="Arial"/>
          <w:b/>
          <w:bCs/>
          <w:sz w:val="20"/>
          <w:szCs w:val="20"/>
        </w:rPr>
        <w:t>공기업특별회계 결산 별책에 담기는데, 그 별책은 우리가 확보한 자료에 포함되어 있지 않다.</w:t>
      </w:r>
      <w:r>
        <w:rPr>
          <w:rFonts w:ascii="Arial" w:eastAsia="맑은 고딕" w:hAnsi="Arial"/>
          <w:b w:val="0"/>
          <w:bCs w:val="0"/>
          <w:sz w:val="20"/>
          <w:szCs w:val="20"/>
        </w:rPr>
        <w:t xml:space="preserve"> 지방재정법 제50조에 따른 이월명세서는 일반회계와 기타특별회계만을 대상으로 하고, 하수도는 공기업특별회계여서 그 명세서에 나오지 않기 때문이다. 상수도사업특별회계의 이월액 286억 원도 같다.</w:t>
      </w:r>
    </w:p>
    <w:p>
      <w:pPr>
        <w:ind w:firstLine="200"/>
        <w:jc w:val="both"/>
        <w:spacing w:after="60" w:before="0" w:line="384" w:lineRule="auto"/>
      </w:pPr>
      <w:r>
        <w:rPr>
          <w:rFonts w:ascii="Arial" w:eastAsia="맑은 고딕" w:hAnsi="Arial"/>
          <w:b/>
          <w:bCs/>
          <w:sz w:val="20"/>
          <w:szCs w:val="20"/>
        </w:rPr>
        <w:t>따라서 이월 704억 원의 사유는 우리가 판단할 수 없다.</w:t>
      </w:r>
      <w:r>
        <w:rPr>
          <w:rFonts w:ascii="Arial" w:eastAsia="맑은 고딕" w:hAnsi="Arial"/>
          <w:b w:val="0"/>
          <w:bCs w:val="0"/>
          <w:sz w:val="20"/>
          <w:szCs w:val="20"/>
        </w:rPr>
        <w:t xml:space="preserve"> 결산심사에서 의원이 공기업 결산 별책을 자료로 요구하고, 사업별 이월 사유·공정·수정 준공 시점을 질의로 확인해야 할 사안이다.</w:t>
      </w:r>
    </w:p>
    <w:p>
      <w:pPr>
        <w:ind w:firstLine="200"/>
        <w:jc w:val="both"/>
        <w:spacing w:after="60" w:before="0" w:line="384" w:lineRule="auto"/>
      </w:pPr>
      <w:r>
        <w:rPr>
          <w:rFonts w:ascii="Arial" w:eastAsia="맑은 고딕" w:hAnsi="Arial"/>
          <w:b w:val="0"/>
          <w:bCs w:val="0"/>
          <w:sz w:val="20"/>
          <w:szCs w:val="20"/>
        </w:rPr>
        <w:t>우리가 확보한 자료로 확인할 수 있는 것은 보조금 기준 이월분이며, 전년도에서 이월된 949.7억 원 중 2025년에 집행된 금액은 382.9억 원(40.3%)에 그쳤고, 534.8억 원이 다시 이월됐다.</w:t>
      </w:r>
    </w:p>
    <w:p>
      <w:pPr>
        <w:jc w:val="center"/>
        <w:spacing w:after="60" w:before="160" w:line="384" w:lineRule="auto"/>
      </w:pPr>
      <w:r>
        <w:rPr>
          <w:rFonts w:ascii="Arial" w:eastAsia="맑은 고딕" w:hAnsi="Arial"/>
          <w:b/>
          <w:bCs/>
          <w:sz w:val="20"/>
          <w:szCs w:val="20"/>
        </w:rPr>
        <w:t>&lt;표 11&gt; 하수도 이월사업의 집행·재이월 현황</w:t>
      </w:r>
    </w:p>
    <w:tbl>
      <w:tblPr>
        <w:tblW w:w="87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194"/>
        <w:gridCol w:w="1198"/>
        <w:gridCol w:w="1198"/>
        <w:gridCol w:w="1198"/>
        <w:gridCol w:w="1000"/>
      </w:tblGrid>
      <w:tr>
        <w:trPr>
          <w:tblHeader/>
        </w:trPr>
        <w:tc>
          <w:tcPr>
            <w:tcW w:w="4194"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center"/>
              <w:spacing w:after="0" w:line="264" w:lineRule="auto"/>
            </w:pPr>
            <w:r>
              <w:rPr>
                <w:rFonts w:ascii="Arial" w:eastAsia="맑은 고딕" w:hAnsi="Arial"/>
                <w:b/>
                <w:bCs/>
                <w:sz w:val="18"/>
                <w:szCs w:val="18"/>
              </w:rPr>
              <w:t>사업명</w:t>
            </w:r>
          </w:p>
        </w:tc>
        <w:tc>
          <w:tcPr>
            <w:tcW w:w="1198"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center"/>
              <w:spacing w:after="0" w:line="264" w:lineRule="auto"/>
            </w:pPr>
            <w:r>
              <w:rPr>
                <w:rFonts w:ascii="Arial" w:eastAsia="맑은 고딕" w:hAnsi="Arial"/>
                <w:b/>
                <w:bCs/>
                <w:sz w:val="18"/>
                <w:szCs w:val="18"/>
              </w:rPr>
              <w:t>이월예산</w:t>
            </w:r>
          </w:p>
        </w:tc>
        <w:tc>
          <w:tcPr>
            <w:tcW w:w="1198"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center"/>
              <w:spacing w:after="0" w:line="264" w:lineRule="auto"/>
            </w:pPr>
            <w:r>
              <w:rPr>
                <w:rFonts w:ascii="Arial" w:eastAsia="맑은 고딕" w:hAnsi="Arial"/>
                <w:b/>
                <w:bCs/>
                <w:sz w:val="18"/>
                <w:szCs w:val="18"/>
              </w:rPr>
              <w:t>집행액</w:t>
            </w:r>
          </w:p>
        </w:tc>
        <w:tc>
          <w:tcPr>
            <w:tcW w:w="1198"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center"/>
              <w:spacing w:after="0" w:line="264" w:lineRule="auto"/>
            </w:pPr>
            <w:r>
              <w:rPr>
                <w:rFonts w:ascii="Arial" w:eastAsia="맑은 고딕" w:hAnsi="Arial"/>
                <w:b/>
                <w:bCs/>
                <w:sz w:val="18"/>
                <w:szCs w:val="18"/>
              </w:rPr>
              <w:t>재이월액</w:t>
            </w:r>
          </w:p>
        </w:tc>
        <w:tc>
          <w:tcPr>
            <w:tcW w:w="10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center"/>
              <w:spacing w:after="0" w:line="264" w:lineRule="auto"/>
            </w:pPr>
            <w:r>
              <w:rPr>
                <w:rFonts w:ascii="Arial" w:eastAsia="맑은 고딕" w:hAnsi="Arial"/>
                <w:b/>
                <w:bCs/>
                <w:sz w:val="18"/>
                <w:szCs w:val="18"/>
              </w:rPr>
              <w:t>집행률</w:t>
            </w:r>
          </w:p>
        </w:tc>
      </w:tr>
      <w:tr>
        <w:trPr/>
        <w:tc>
          <w:tcPr>
            <w:tcW w:w="4194"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val="0"/>
                <w:bCs w:val="0"/>
                <w:sz w:val="18"/>
                <w:szCs w:val="18"/>
              </w:rPr>
              <w:t>서구 도마·변동 일원 하수관로 정비</w:t>
            </w:r>
          </w:p>
        </w:tc>
        <w:tc>
          <w:tcPr>
            <w:tcW w:w="1198"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val="0"/>
                <w:bCs w:val="0"/>
                <w:sz w:val="18"/>
                <w:szCs w:val="18"/>
              </w:rPr>
              <w:t>68.9억</w:t>
            </w:r>
          </w:p>
        </w:tc>
        <w:tc>
          <w:tcPr>
            <w:tcW w:w="1198"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val="0"/>
                <w:bCs w:val="0"/>
                <w:sz w:val="18"/>
                <w:szCs w:val="18"/>
              </w:rPr>
              <w:t>0원</w:t>
            </w:r>
          </w:p>
        </w:tc>
        <w:tc>
          <w:tcPr>
            <w:tcW w:w="1198"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val="0"/>
                <w:bCs w:val="0"/>
                <w:sz w:val="18"/>
                <w:szCs w:val="18"/>
              </w:rPr>
              <w:t>68.9억</w:t>
            </w:r>
          </w:p>
        </w:tc>
        <w:tc>
          <w:tcPr>
            <w:tcW w:w="10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val="0"/>
                <w:bCs w:val="0"/>
                <w:sz w:val="18"/>
                <w:szCs w:val="18"/>
              </w:rPr>
              <w:t>0.0%</w:t>
            </w:r>
          </w:p>
        </w:tc>
      </w:tr>
      <w:tr>
        <w:trPr/>
        <w:tc>
          <w:tcPr>
            <w:tcW w:w="4194"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val="0"/>
                <w:bCs w:val="0"/>
                <w:sz w:val="18"/>
                <w:szCs w:val="18"/>
              </w:rPr>
              <w:t>서구 탄방2·가장2 도시침수 대응</w:t>
            </w:r>
          </w:p>
        </w:tc>
        <w:tc>
          <w:tcPr>
            <w:tcW w:w="1198"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val="0"/>
                <w:bCs w:val="0"/>
                <w:sz w:val="18"/>
                <w:szCs w:val="18"/>
              </w:rPr>
              <w:t>58.0억</w:t>
            </w:r>
          </w:p>
        </w:tc>
        <w:tc>
          <w:tcPr>
            <w:tcW w:w="1198"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val="0"/>
                <w:bCs w:val="0"/>
                <w:sz w:val="18"/>
                <w:szCs w:val="18"/>
              </w:rPr>
              <w:t>2만 원</w:t>
            </w:r>
          </w:p>
        </w:tc>
        <w:tc>
          <w:tcPr>
            <w:tcW w:w="1198"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val="0"/>
                <w:bCs w:val="0"/>
                <w:sz w:val="18"/>
                <w:szCs w:val="18"/>
              </w:rPr>
              <w:t>58.0억</w:t>
            </w:r>
          </w:p>
        </w:tc>
        <w:tc>
          <w:tcPr>
            <w:tcW w:w="10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val="0"/>
                <w:bCs w:val="0"/>
                <w:sz w:val="18"/>
                <w:szCs w:val="18"/>
              </w:rPr>
              <w:t>0.0%</w:t>
            </w:r>
          </w:p>
        </w:tc>
      </w:tr>
      <w:tr>
        <w:trPr/>
        <w:tc>
          <w:tcPr>
            <w:tcW w:w="4194"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val="0"/>
                <w:bCs w:val="0"/>
                <w:sz w:val="18"/>
                <w:szCs w:val="18"/>
              </w:rPr>
              <w:t>노후관로(3단계 긴급 보수) 정비</w:t>
            </w:r>
          </w:p>
        </w:tc>
        <w:tc>
          <w:tcPr>
            <w:tcW w:w="1198"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val="0"/>
                <w:bCs w:val="0"/>
                <w:sz w:val="18"/>
                <w:szCs w:val="18"/>
              </w:rPr>
              <w:t>97.6억</w:t>
            </w:r>
          </w:p>
        </w:tc>
        <w:tc>
          <w:tcPr>
            <w:tcW w:w="1198"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val="0"/>
                <w:bCs w:val="0"/>
                <w:sz w:val="18"/>
                <w:szCs w:val="18"/>
              </w:rPr>
              <w:t>4.2억</w:t>
            </w:r>
          </w:p>
        </w:tc>
        <w:tc>
          <w:tcPr>
            <w:tcW w:w="1198"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val="0"/>
                <w:bCs w:val="0"/>
                <w:sz w:val="18"/>
                <w:szCs w:val="18"/>
              </w:rPr>
              <w:t>93.4억</w:t>
            </w:r>
          </w:p>
        </w:tc>
        <w:tc>
          <w:tcPr>
            <w:tcW w:w="10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val="0"/>
                <w:bCs w:val="0"/>
                <w:sz w:val="18"/>
                <w:szCs w:val="18"/>
              </w:rPr>
              <w:t>4.4%</w:t>
            </w:r>
          </w:p>
        </w:tc>
      </w:tr>
      <w:tr>
        <w:trPr/>
        <w:tc>
          <w:tcPr>
            <w:tcW w:w="4194"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val="0"/>
                <w:bCs w:val="0"/>
                <w:sz w:val="18"/>
                <w:szCs w:val="18"/>
              </w:rPr>
              <w:t>서구 둔산1지역 도시침수 대응</w:t>
            </w:r>
          </w:p>
        </w:tc>
        <w:tc>
          <w:tcPr>
            <w:tcW w:w="1198"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val="0"/>
                <w:bCs w:val="0"/>
                <w:sz w:val="18"/>
                <w:szCs w:val="18"/>
              </w:rPr>
              <w:t>28.9억</w:t>
            </w:r>
          </w:p>
        </w:tc>
        <w:tc>
          <w:tcPr>
            <w:tcW w:w="1198"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val="0"/>
                <w:bCs w:val="0"/>
                <w:sz w:val="18"/>
                <w:szCs w:val="18"/>
              </w:rPr>
              <w:t>6.3억</w:t>
            </w:r>
          </w:p>
        </w:tc>
        <w:tc>
          <w:tcPr>
            <w:tcW w:w="1198"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val="0"/>
                <w:bCs w:val="0"/>
                <w:sz w:val="18"/>
                <w:szCs w:val="18"/>
              </w:rPr>
              <w:t>22.6억</w:t>
            </w:r>
          </w:p>
        </w:tc>
        <w:tc>
          <w:tcPr>
            <w:tcW w:w="10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val="0"/>
                <w:bCs w:val="0"/>
                <w:sz w:val="18"/>
                <w:szCs w:val="18"/>
              </w:rPr>
              <w:t>21.7%</w:t>
            </w:r>
          </w:p>
        </w:tc>
      </w:tr>
      <w:tr>
        <w:trPr/>
        <w:tc>
          <w:tcPr>
            <w:tcW w:w="4194"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val="0"/>
                <w:bCs w:val="0"/>
                <w:sz w:val="18"/>
                <w:szCs w:val="18"/>
              </w:rPr>
              <w:t>대덕구 오정동 일원 하수관로 정비</w:t>
            </w:r>
          </w:p>
        </w:tc>
        <w:tc>
          <w:tcPr>
            <w:tcW w:w="1198"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val="0"/>
                <w:bCs w:val="0"/>
                <w:sz w:val="18"/>
                <w:szCs w:val="18"/>
              </w:rPr>
              <w:t>179.5억</w:t>
            </w:r>
          </w:p>
        </w:tc>
        <w:tc>
          <w:tcPr>
            <w:tcW w:w="1198"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val="0"/>
                <w:bCs w:val="0"/>
                <w:sz w:val="18"/>
                <w:szCs w:val="18"/>
              </w:rPr>
              <w:t>61.0억</w:t>
            </w:r>
          </w:p>
        </w:tc>
        <w:tc>
          <w:tcPr>
            <w:tcW w:w="1198"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val="0"/>
                <w:bCs w:val="0"/>
                <w:sz w:val="18"/>
                <w:szCs w:val="18"/>
              </w:rPr>
              <w:t>118.5억</w:t>
            </w:r>
          </w:p>
        </w:tc>
        <w:tc>
          <w:tcPr>
            <w:tcW w:w="10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val="0"/>
                <w:bCs w:val="0"/>
                <w:sz w:val="18"/>
                <w:szCs w:val="18"/>
              </w:rPr>
              <w:t>34.0%</w:t>
            </w:r>
          </w:p>
        </w:tc>
      </w:tr>
      <w:tr>
        <w:trPr/>
        <w:tc>
          <w:tcPr>
            <w:tcW w:w="4194"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val="0"/>
                <w:bCs w:val="0"/>
                <w:sz w:val="18"/>
                <w:szCs w:val="18"/>
              </w:rPr>
              <w:t>대전 1·2산단 하수관로 분류화</w:t>
            </w:r>
          </w:p>
        </w:tc>
        <w:tc>
          <w:tcPr>
            <w:tcW w:w="1198"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val="0"/>
                <w:bCs w:val="0"/>
                <w:sz w:val="18"/>
                <w:szCs w:val="18"/>
              </w:rPr>
              <w:t>156.9억</w:t>
            </w:r>
          </w:p>
        </w:tc>
        <w:tc>
          <w:tcPr>
            <w:tcW w:w="1198"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val="0"/>
                <w:bCs w:val="0"/>
                <w:sz w:val="18"/>
                <w:szCs w:val="18"/>
              </w:rPr>
              <w:t>80.0억</w:t>
            </w:r>
          </w:p>
        </w:tc>
        <w:tc>
          <w:tcPr>
            <w:tcW w:w="1198"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val="0"/>
                <w:bCs w:val="0"/>
                <w:sz w:val="18"/>
                <w:szCs w:val="18"/>
              </w:rPr>
              <w:t>76.9억</w:t>
            </w:r>
          </w:p>
        </w:tc>
        <w:tc>
          <w:tcPr>
            <w:tcW w:w="10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val="0"/>
                <w:bCs w:val="0"/>
                <w:sz w:val="18"/>
                <w:szCs w:val="18"/>
              </w:rPr>
              <w:t>51.0%</w:t>
            </w:r>
          </w:p>
        </w:tc>
      </w:tr>
      <w:tr>
        <w:trPr/>
        <w:tc>
          <w:tcPr>
            <w:tcW w:w="4194"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val="0"/>
                <w:bCs w:val="0"/>
                <w:sz w:val="18"/>
                <w:szCs w:val="18"/>
              </w:rPr>
              <w:t>대전천 일원 하수관로 정비</w:t>
            </w:r>
          </w:p>
        </w:tc>
        <w:tc>
          <w:tcPr>
            <w:tcW w:w="1198"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val="0"/>
                <w:bCs w:val="0"/>
                <w:sz w:val="18"/>
                <w:szCs w:val="18"/>
              </w:rPr>
              <w:t>117.3억</w:t>
            </w:r>
          </w:p>
        </w:tc>
        <w:tc>
          <w:tcPr>
            <w:tcW w:w="1198"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val="0"/>
                <w:bCs w:val="0"/>
                <w:sz w:val="18"/>
                <w:szCs w:val="18"/>
              </w:rPr>
              <w:t>69.9억</w:t>
            </w:r>
          </w:p>
        </w:tc>
        <w:tc>
          <w:tcPr>
            <w:tcW w:w="1198"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val="0"/>
                <w:bCs w:val="0"/>
                <w:sz w:val="18"/>
                <w:szCs w:val="18"/>
              </w:rPr>
              <w:t>47.4억</w:t>
            </w:r>
          </w:p>
        </w:tc>
        <w:tc>
          <w:tcPr>
            <w:tcW w:w="10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val="0"/>
                <w:bCs w:val="0"/>
                <w:sz w:val="18"/>
                <w:szCs w:val="18"/>
              </w:rPr>
              <w:t>59.6%</w:t>
            </w:r>
          </w:p>
        </w:tc>
      </w:tr>
      <w:tr>
        <w:trPr/>
        <w:tc>
          <w:tcPr>
            <w:tcW w:w="4194"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val="0"/>
                <w:bCs w:val="0"/>
                <w:sz w:val="18"/>
                <w:szCs w:val="18"/>
              </w:rPr>
              <w:t>중구 유천2지역 도시침수 대응</w:t>
            </w:r>
          </w:p>
        </w:tc>
        <w:tc>
          <w:tcPr>
            <w:tcW w:w="1198"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val="0"/>
                <w:bCs w:val="0"/>
                <w:sz w:val="18"/>
                <w:szCs w:val="18"/>
              </w:rPr>
              <w:t>125.0억</w:t>
            </w:r>
          </w:p>
        </w:tc>
        <w:tc>
          <w:tcPr>
            <w:tcW w:w="1198"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val="0"/>
                <w:bCs w:val="0"/>
                <w:sz w:val="18"/>
                <w:szCs w:val="18"/>
              </w:rPr>
              <w:t>75.8억</w:t>
            </w:r>
          </w:p>
        </w:tc>
        <w:tc>
          <w:tcPr>
            <w:tcW w:w="1198"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val="0"/>
                <w:bCs w:val="0"/>
                <w:sz w:val="18"/>
                <w:szCs w:val="18"/>
              </w:rPr>
              <w:t>49.2억</w:t>
            </w:r>
          </w:p>
        </w:tc>
        <w:tc>
          <w:tcPr>
            <w:tcW w:w="10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val="0"/>
                <w:bCs w:val="0"/>
                <w:sz w:val="18"/>
                <w:szCs w:val="18"/>
              </w:rPr>
              <w:t>60.6%</w:t>
            </w:r>
          </w:p>
        </w:tc>
      </w:tr>
      <w:tr>
        <w:trPr/>
        <w:tc>
          <w:tcPr>
            <w:tcW w:w="4194"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val="0"/>
                <w:bCs w:val="0"/>
                <w:sz w:val="18"/>
                <w:szCs w:val="18"/>
              </w:rPr>
              <w:t>대전천 좌안·옥계동 상류 하수관로 정비</w:t>
            </w:r>
          </w:p>
        </w:tc>
        <w:tc>
          <w:tcPr>
            <w:tcW w:w="1198"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val="0"/>
                <w:bCs w:val="0"/>
                <w:sz w:val="18"/>
                <w:szCs w:val="18"/>
              </w:rPr>
              <w:t>84.0억</w:t>
            </w:r>
          </w:p>
        </w:tc>
        <w:tc>
          <w:tcPr>
            <w:tcW w:w="1198"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val="0"/>
                <w:bCs w:val="0"/>
                <w:sz w:val="18"/>
                <w:szCs w:val="18"/>
              </w:rPr>
              <w:t>56.3억</w:t>
            </w:r>
          </w:p>
        </w:tc>
        <w:tc>
          <w:tcPr>
            <w:tcW w:w="1198"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val="0"/>
                <w:bCs w:val="0"/>
                <w:sz w:val="18"/>
                <w:szCs w:val="18"/>
              </w:rPr>
              <w:t>0원</w:t>
            </w:r>
          </w:p>
        </w:tc>
        <w:tc>
          <w:tcPr>
            <w:tcW w:w="10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val="0"/>
                <w:bCs w:val="0"/>
                <w:sz w:val="18"/>
                <w:szCs w:val="18"/>
              </w:rPr>
              <w:t>67.0%</w:t>
            </w:r>
          </w:p>
        </w:tc>
      </w:tr>
      <w:tr>
        <w:trPr/>
        <w:tc>
          <w:tcPr>
            <w:tcW w:w="4194"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val="0"/>
                <w:bCs w:val="0"/>
                <w:sz w:val="18"/>
                <w:szCs w:val="18"/>
              </w:rPr>
              <w:t>서구 복수동 일원 하수관로 정비</w:t>
            </w:r>
          </w:p>
        </w:tc>
        <w:tc>
          <w:tcPr>
            <w:tcW w:w="1198"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val="0"/>
                <w:bCs w:val="0"/>
                <w:sz w:val="18"/>
                <w:szCs w:val="18"/>
              </w:rPr>
              <w:t>33.6억</w:t>
            </w:r>
          </w:p>
        </w:tc>
        <w:tc>
          <w:tcPr>
            <w:tcW w:w="1198"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val="0"/>
                <w:bCs w:val="0"/>
                <w:sz w:val="18"/>
                <w:szCs w:val="18"/>
              </w:rPr>
              <w:t>29.3억</w:t>
            </w:r>
          </w:p>
        </w:tc>
        <w:tc>
          <w:tcPr>
            <w:tcW w:w="1198"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val="0"/>
                <w:bCs w:val="0"/>
                <w:sz w:val="18"/>
                <w:szCs w:val="18"/>
              </w:rPr>
              <w:t>0원</w:t>
            </w:r>
          </w:p>
        </w:tc>
        <w:tc>
          <w:tcPr>
            <w:tcW w:w="10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val="0"/>
                <w:bCs w:val="0"/>
                <w:sz w:val="18"/>
                <w:szCs w:val="18"/>
              </w:rPr>
              <w:t>87.1%</w:t>
            </w:r>
          </w:p>
        </w:tc>
      </w:tr>
      <w:tr>
        <w:trPr/>
        <w:tc>
          <w:tcPr>
            <w:tcW w:w="4194"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bCs/>
                <w:sz w:val="18"/>
                <w:szCs w:val="18"/>
              </w:rPr>
              <w:t>계</w:t>
            </w:r>
          </w:p>
        </w:tc>
        <w:tc>
          <w:tcPr>
            <w:tcW w:w="1198"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bCs/>
                <w:sz w:val="18"/>
                <w:szCs w:val="18"/>
              </w:rPr>
              <w:t>949.7억</w:t>
            </w:r>
          </w:p>
        </w:tc>
        <w:tc>
          <w:tcPr>
            <w:tcW w:w="1198"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bCs/>
                <w:sz w:val="18"/>
                <w:szCs w:val="18"/>
              </w:rPr>
              <w:t>382.9억</w:t>
            </w:r>
          </w:p>
        </w:tc>
        <w:tc>
          <w:tcPr>
            <w:tcW w:w="1198"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bCs/>
                <w:sz w:val="18"/>
                <w:szCs w:val="18"/>
              </w:rPr>
              <w:t>534.8억</w:t>
            </w:r>
          </w:p>
        </w:tc>
        <w:tc>
          <w:tcPr>
            <w:tcW w:w="10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bCs/>
                <w:sz w:val="18"/>
                <w:szCs w:val="18"/>
              </w:rPr>
              <w:t>40.3%</w:t>
            </w:r>
          </w:p>
        </w:tc>
      </w:tr>
    </w:tbl>
    <w:p>
      <w:pPr>
        <w:spacing w:after="0"/>
      </w:pPr>
    </w:p>
    <w:p>
      <w:pPr>
        <w:jc w:val="left"/>
        <w:spacing w:after="120" w:before="0" w:line="384" w:lineRule="auto"/>
      </w:pPr>
      <w:r>
        <w:rPr>
          <w:rFonts w:ascii="Arial" w:eastAsia="맑은 고딕" w:hAnsi="Arial"/>
          <w:b w:val="0"/>
          <w:bCs w:val="0"/>
          <w:sz w:val="16"/>
          <w:szCs w:val="16"/>
        </w:rPr>
        <w:t>출처: 2025회계연도 결산서 첨부서류 (17)-2 사업별 보조금 집행 현황 (인쇄 479~482쪽)</w:t>
      </w:r>
    </w:p>
    <w:p>
      <w:pPr>
        <w:ind w:firstLine="200"/>
        <w:jc w:val="both"/>
        <w:spacing w:after="60" w:before="0" w:line="384" w:lineRule="auto"/>
      </w:pPr>
      <w:r>
        <w:rPr>
          <w:rFonts w:ascii="Arial" w:eastAsia="맑은 고딕" w:hAnsi="Arial"/>
          <w:b w:val="0"/>
          <w:bCs w:val="0"/>
          <w:sz w:val="20"/>
          <w:szCs w:val="20"/>
        </w:rPr>
        <w:t xml:space="preserve">한 번 이월된 예산의 56%가 또 이월됐다. 사업명에 '긴급 보수'가 붙은 97.6억 원 규모 사업의 집행률이 4.4%에 그쳤고, '도시침수 대응' 사업 세 건 중 두 건은 집행률이 0~21.7%다. 서구 도마·변동은 집행이 정확히 0원, 서구 탄방2·가장2는 시설부대비 2만 원이 전부여서 </w:t>
      </w:r>
      <w:r>
        <w:rPr>
          <w:rFonts w:ascii="Arial" w:eastAsia="맑은 고딕" w:hAnsi="Arial"/>
          <w:b/>
          <w:bCs/>
          <w:sz w:val="20"/>
          <w:szCs w:val="20"/>
        </w:rPr>
        <w:t>사실상 한 해 동안 사업이 진행되지 않았다.</w:t>
      </w:r>
    </w:p>
    <w:p>
      <w:pPr>
        <w:ind w:firstLine="200"/>
        <w:jc w:val="both"/>
        <w:spacing w:after="60" w:before="0" w:line="384" w:lineRule="auto"/>
      </w:pPr>
      <w:r>
        <w:rPr>
          <w:rFonts w:ascii="Arial" w:eastAsia="맑은 고딕" w:hAnsi="Arial"/>
          <w:b w:val="0"/>
          <w:bCs w:val="0"/>
          <w:sz w:val="20"/>
          <w:szCs w:val="20"/>
        </w:rPr>
        <w:t xml:space="preserve">하수도 침수 대응은 시민 안전과 직결된다. </w:t>
      </w:r>
      <w:r>
        <w:rPr>
          <w:rFonts w:ascii="Arial" w:eastAsia="맑은 고딕" w:hAnsi="Arial"/>
          <w:b/>
          <w:bCs/>
          <w:sz w:val="20"/>
          <w:szCs w:val="20"/>
        </w:rPr>
        <w:t>왜 두 해 연속 진행되지 않았는지, 언제 착공하는지는 결산심사에서 반드시 확인되어야 할 사항이다.</w:t>
      </w:r>
    </w:p>
    <w:p>
      <w:pPr>
        <w:jc w:val="left"/>
        <w:spacing w:after="100" w:before="240" w:line="384" w:lineRule="auto"/>
      </w:pPr>
      <w:r>
        <w:rPr>
          <w:rFonts w:ascii="Arial" w:eastAsia="맑은 고딕" w:hAnsi="Arial"/>
          <w:b/>
          <w:bCs/>
          <w:sz w:val="22"/>
          <w:szCs w:val="22"/>
        </w:rPr>
        <w:t>3. 국비는 집행, 시비는 이월</w:t>
      </w:r>
    </w:p>
    <w:p>
      <w:pPr>
        <w:ind w:firstLine="200"/>
        <w:jc w:val="both"/>
        <w:spacing w:after="60" w:before="0" w:line="384" w:lineRule="auto"/>
      </w:pPr>
      <w:r>
        <w:rPr>
          <w:rFonts w:ascii="Arial" w:eastAsia="맑은 고딕" w:hAnsi="Arial"/>
          <w:b w:val="0"/>
          <w:bCs w:val="0"/>
          <w:sz w:val="20"/>
          <w:szCs w:val="20"/>
        </w:rPr>
        <w:t>두 사업에서 공통된 양상이 나타난다. 국고보조금은 대부분 집행하고 시비는 이월하는 것이다.</w:t>
      </w:r>
    </w:p>
    <w:p>
      <w:pPr>
        <w:jc w:val="center"/>
        <w:spacing w:after="60" w:before="160" w:line="384" w:lineRule="auto"/>
      </w:pPr>
      <w:r>
        <w:rPr>
          <w:rFonts w:ascii="Arial" w:eastAsia="맑은 고딕" w:hAnsi="Arial"/>
          <w:b/>
          <w:bCs/>
          <w:sz w:val="20"/>
          <w:szCs w:val="20"/>
        </w:rPr>
        <w:t>&lt;표 12&gt; 국비·시비 집행률 대비</w:t>
      </w:r>
    </w:p>
    <w:tbl>
      <w:tblPr>
        <w:tblW w:w="87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29"/>
        <w:gridCol w:w="1352"/>
        <w:gridCol w:w="1352"/>
        <w:gridCol w:w="1803"/>
        <w:gridCol w:w="1352"/>
      </w:tblGrid>
      <w:tr>
        <w:trPr>
          <w:tblHeader/>
        </w:trPr>
        <w:tc>
          <w:tcPr>
            <w:tcW w:w="2929"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center"/>
              <w:spacing w:after="0" w:line="264" w:lineRule="auto"/>
            </w:pPr>
            <w:r>
              <w:rPr>
                <w:rFonts w:ascii="Arial" w:eastAsia="맑은 고딕" w:hAnsi="Arial"/>
                <w:b/>
                <w:bCs/>
                <w:sz w:val="18"/>
                <w:szCs w:val="18"/>
              </w:rPr>
              <w:t>구분</w:t>
            </w:r>
          </w:p>
        </w:tc>
        <w:tc>
          <w:tcPr>
            <w:tcW w:w="1352"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center"/>
              <w:spacing w:after="0" w:line="264" w:lineRule="auto"/>
            </w:pPr>
            <w:r>
              <w:rPr>
                <w:rFonts w:ascii="Arial" w:eastAsia="맑은 고딕" w:hAnsi="Arial"/>
                <w:b/>
                <w:bCs/>
                <w:sz w:val="18"/>
                <w:szCs w:val="18"/>
              </w:rPr>
              <w:t>국비 예산</w:t>
            </w:r>
          </w:p>
        </w:tc>
        <w:tc>
          <w:tcPr>
            <w:tcW w:w="1352"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center"/>
              <w:spacing w:after="0" w:line="264" w:lineRule="auto"/>
            </w:pPr>
            <w:r>
              <w:rPr>
                <w:rFonts w:ascii="Arial" w:eastAsia="맑은 고딕" w:hAnsi="Arial"/>
                <w:b/>
                <w:bCs/>
                <w:sz w:val="18"/>
                <w:szCs w:val="18"/>
              </w:rPr>
              <w:t>국비 집행률</w:t>
            </w:r>
          </w:p>
        </w:tc>
        <w:tc>
          <w:tcPr>
            <w:tcW w:w="1803"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center"/>
              <w:spacing w:after="0" w:line="264" w:lineRule="auto"/>
            </w:pPr>
            <w:r>
              <w:rPr>
                <w:rFonts w:ascii="Arial" w:eastAsia="맑은 고딕" w:hAnsi="Arial"/>
                <w:b/>
                <w:bCs/>
                <w:sz w:val="18"/>
                <w:szCs w:val="18"/>
              </w:rPr>
              <w:t>시비 예산</w:t>
            </w:r>
          </w:p>
        </w:tc>
        <w:tc>
          <w:tcPr>
            <w:tcW w:w="1352"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center"/>
              <w:spacing w:after="0" w:line="264" w:lineRule="auto"/>
            </w:pPr>
            <w:r>
              <w:rPr>
                <w:rFonts w:ascii="Arial" w:eastAsia="맑은 고딕" w:hAnsi="Arial"/>
                <w:b/>
                <w:bCs/>
                <w:sz w:val="18"/>
                <w:szCs w:val="18"/>
              </w:rPr>
              <w:t>시비 집행률</w:t>
            </w:r>
          </w:p>
        </w:tc>
      </w:tr>
      <w:tr>
        <w:trPr/>
        <w:tc>
          <w:tcPr>
            <w:tcW w:w="2929"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val="0"/>
                <w:bCs w:val="0"/>
                <w:sz w:val="18"/>
                <w:szCs w:val="18"/>
              </w:rPr>
              <w:t>도시철도(당해 보조사업)</w:t>
            </w:r>
          </w:p>
        </w:tc>
        <w:tc>
          <w:tcPr>
            <w:tcW w:w="1352"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val="0"/>
                <w:bCs w:val="0"/>
                <w:sz w:val="18"/>
                <w:szCs w:val="18"/>
              </w:rPr>
              <w:t>1,846억</w:t>
            </w:r>
          </w:p>
        </w:tc>
        <w:tc>
          <w:tcPr>
            <w:tcW w:w="1352"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val="0"/>
                <w:bCs w:val="0"/>
                <w:sz w:val="18"/>
                <w:szCs w:val="18"/>
              </w:rPr>
              <w:t>100.0%</w:t>
            </w:r>
          </w:p>
        </w:tc>
        <w:tc>
          <w:tcPr>
            <w:tcW w:w="1803"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val="0"/>
                <w:bCs w:val="0"/>
                <w:sz w:val="18"/>
                <w:szCs w:val="18"/>
              </w:rPr>
              <w:t>1,231.5억</w:t>
            </w:r>
          </w:p>
        </w:tc>
        <w:tc>
          <w:tcPr>
            <w:tcW w:w="1352"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val="0"/>
                <w:bCs w:val="0"/>
                <w:sz w:val="18"/>
                <w:szCs w:val="18"/>
              </w:rPr>
              <w:t>21.6%</w:t>
            </w:r>
          </w:p>
        </w:tc>
      </w:tr>
      <w:tr>
        <w:trPr/>
        <w:tc>
          <w:tcPr>
            <w:tcW w:w="2929"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val="0"/>
                <w:bCs w:val="0"/>
                <w:sz w:val="18"/>
                <w:szCs w:val="18"/>
              </w:rPr>
              <w:t>하수도(이월 보조사업)</w:t>
            </w:r>
          </w:p>
        </w:tc>
        <w:tc>
          <w:tcPr>
            <w:tcW w:w="1352"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val="0"/>
                <w:bCs w:val="0"/>
                <w:sz w:val="18"/>
                <w:szCs w:val="18"/>
              </w:rPr>
              <w:t>295.7억</w:t>
            </w:r>
          </w:p>
        </w:tc>
        <w:tc>
          <w:tcPr>
            <w:tcW w:w="1352"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val="0"/>
                <w:bCs w:val="0"/>
                <w:sz w:val="18"/>
                <w:szCs w:val="18"/>
              </w:rPr>
              <w:t>68.6%</w:t>
            </w:r>
          </w:p>
        </w:tc>
        <w:tc>
          <w:tcPr>
            <w:tcW w:w="1803"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val="0"/>
                <w:bCs w:val="0"/>
                <w:sz w:val="18"/>
                <w:szCs w:val="18"/>
              </w:rPr>
              <w:t>654.0억</w:t>
            </w:r>
          </w:p>
        </w:tc>
        <w:tc>
          <w:tcPr>
            <w:tcW w:w="1352"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val="0"/>
                <w:bCs w:val="0"/>
                <w:sz w:val="18"/>
                <w:szCs w:val="18"/>
              </w:rPr>
              <w:t>27.5%</w:t>
            </w:r>
          </w:p>
        </w:tc>
      </w:tr>
    </w:tbl>
    <w:p>
      <w:pPr>
        <w:spacing w:after="0"/>
      </w:pPr>
    </w:p>
    <w:p>
      <w:pPr>
        <w:jc w:val="left"/>
        <w:spacing w:after="120" w:before="0" w:line="384" w:lineRule="auto"/>
      </w:pPr>
      <w:r>
        <w:rPr>
          <w:rFonts w:ascii="Arial" w:eastAsia="맑은 고딕" w:hAnsi="Arial"/>
          <w:b w:val="0"/>
          <w:bCs w:val="0"/>
          <w:sz w:val="16"/>
          <w:szCs w:val="16"/>
        </w:rPr>
        <w:t>출처: 2025회계연도 결산서 첨부서류 (17)-1 보조금 집행 현황 총괄표, (17)-2 사업별 보조금 집행 현황</w:t>
      </w:r>
    </w:p>
    <w:p>
      <w:pPr>
        <w:ind w:firstLine="200"/>
        <w:jc w:val="both"/>
        <w:spacing w:after="60" w:before="0" w:line="384" w:lineRule="auto"/>
      </w:pPr>
      <w:r>
        <w:rPr>
          <w:rFonts w:ascii="Arial" w:eastAsia="맑은 고딕" w:hAnsi="Arial"/>
          <w:b w:val="0"/>
          <w:bCs w:val="0"/>
          <w:sz w:val="20"/>
          <w:szCs w:val="20"/>
        </w:rPr>
        <w:t>국고보조금은 정해진 기간에 쓰지 못하면 반납해야 하지만 시비는 이월이 상대적으로 자유롭다. 두 회계에서 같은 방향의 차이가 나타난 것이 우연인지, 국비 반납을 피하기 위해 집행 순서를 조정한 결과인지 확인이 필요하다.</w:t>
      </w:r>
    </w:p>
    <w:p>
      <w:r>
        <w:br w:type="page"/>
      </w:r>
    </w:p>
    <w:p>
      <w:pPr>
        <w:jc w:val="left"/>
        <w:spacing w:after="140" w:before="320" w:line="384" w:lineRule="auto"/>
      </w:pPr>
      <w:r>
        <w:rPr>
          <w:rFonts w:ascii="Arial" w:eastAsia="맑은 고딕" w:hAnsi="Arial"/>
          <w:b/>
          <w:bCs/>
          <w:sz w:val="26"/>
          <w:szCs w:val="26"/>
        </w:rPr>
        <w:t>Ⅴ. 부채 구조 — 대전도시공사</w:t>
      </w:r>
    </w:p>
    <w:p>
      <w:pPr>
        <w:jc w:val="left"/>
        <w:spacing w:after="100" w:before="240" w:line="384" w:lineRule="auto"/>
      </w:pPr>
      <w:r>
        <w:rPr>
          <w:rFonts w:ascii="Arial" w:eastAsia="맑은 고딕" w:hAnsi="Arial"/>
          <w:b/>
          <w:bCs/>
          <w:sz w:val="22"/>
          <w:szCs w:val="22"/>
        </w:rPr>
        <w:t>1. 지방공사·공단 부채 증가의 실체</w:t>
      </w:r>
    </w:p>
    <w:p>
      <w:pPr>
        <w:ind w:firstLine="200"/>
        <w:jc w:val="both"/>
        <w:spacing w:after="60" w:before="0" w:line="384" w:lineRule="auto"/>
      </w:pPr>
      <w:r>
        <w:rPr>
          <w:rFonts w:ascii="Arial" w:eastAsia="맑은 고딕" w:hAnsi="Arial"/>
          <w:b w:val="0"/>
          <w:bCs w:val="0"/>
          <w:sz w:val="20"/>
          <w:szCs w:val="20"/>
        </w:rPr>
        <w:t xml:space="preserve">대전시 산하 지방공공기관의 부채는 2024년 7,182억 원에서 2025년 1조 413억 원으로 3,231억 원(45.0%) 늘었다. 이 가운데 </w:t>
      </w:r>
      <w:r>
        <w:rPr>
          <w:rFonts w:ascii="Arial" w:eastAsia="맑은 고딕" w:hAnsi="Arial"/>
          <w:b/>
          <w:bCs/>
          <w:sz w:val="20"/>
          <w:szCs w:val="20"/>
        </w:rPr>
        <w:t>공사 3곳과 공단 1곳을 합한 4개 기관의 부채는 5,708억 원에서 9,591억 원으로 3,883억 원(68.0%) 증가</w:t>
      </w:r>
      <w:r>
        <w:rPr>
          <w:rFonts w:ascii="Arial" w:eastAsia="맑은 고딕" w:hAnsi="Arial"/>
          <w:b w:val="0"/>
          <w:bCs w:val="0"/>
          <w:sz w:val="20"/>
          <w:szCs w:val="20"/>
        </w:rPr>
        <w:t>했다. 같은 기간 대전시 본청 채무 증가액은 1,890억 원이므로, 이들 기관의 부채 증가가 본청의 2배를 넘는다.</w:t>
      </w:r>
    </w:p>
    <w:p>
      <w:pPr>
        <w:jc w:val="center"/>
        <w:spacing w:after="60" w:before="160" w:line="384" w:lineRule="auto"/>
      </w:pPr>
      <w:r>
        <w:rPr>
          <w:rFonts w:ascii="Arial" w:eastAsia="맑은 고딕" w:hAnsi="Arial"/>
          <w:b/>
          <w:bCs/>
          <w:sz w:val="20"/>
          <w:szCs w:val="20"/>
        </w:rPr>
        <w:t>&lt;표 13&gt; 지방공사·공단의 자산과 부채 (2025년 말)</w:t>
      </w:r>
    </w:p>
    <w:tbl>
      <w:tblPr>
        <w:tblW w:w="87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03"/>
        <w:gridCol w:w="2479"/>
        <w:gridCol w:w="1803"/>
        <w:gridCol w:w="901"/>
        <w:gridCol w:w="1802"/>
      </w:tblGrid>
      <w:tr>
        <w:trPr>
          <w:tblHeader/>
        </w:trPr>
        <w:tc>
          <w:tcPr>
            <w:tcW w:w="1803"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center"/>
              <w:spacing w:after="0" w:line="264" w:lineRule="auto"/>
            </w:pPr>
            <w:r>
              <w:rPr>
                <w:rFonts w:ascii="Arial" w:eastAsia="맑은 고딕" w:hAnsi="Arial"/>
                <w:b/>
                <w:bCs/>
                <w:sz w:val="18"/>
                <w:szCs w:val="18"/>
              </w:rPr>
              <w:t>기관</w:t>
            </w:r>
          </w:p>
        </w:tc>
        <w:tc>
          <w:tcPr>
            <w:tcW w:w="2479"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center"/>
              <w:spacing w:after="0" w:line="264" w:lineRule="auto"/>
            </w:pPr>
            <w:r>
              <w:rPr>
                <w:rFonts w:ascii="Arial" w:eastAsia="맑은 고딕" w:hAnsi="Arial"/>
                <w:b/>
                <w:bCs/>
                <w:sz w:val="18"/>
                <w:szCs w:val="18"/>
              </w:rPr>
              <w:t>자산</w:t>
            </w:r>
          </w:p>
        </w:tc>
        <w:tc>
          <w:tcPr>
            <w:tcW w:w="1803"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center"/>
              <w:spacing w:after="0" w:line="264" w:lineRule="auto"/>
            </w:pPr>
            <w:r>
              <w:rPr>
                <w:rFonts w:ascii="Arial" w:eastAsia="맑은 고딕" w:hAnsi="Arial"/>
                <w:b/>
                <w:bCs/>
                <w:sz w:val="18"/>
                <w:szCs w:val="18"/>
              </w:rPr>
              <w:t>부채</w:t>
            </w:r>
          </w:p>
        </w:tc>
        <w:tc>
          <w:tcPr>
            <w:tcW w:w="901"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center"/>
              <w:spacing w:after="0" w:line="264" w:lineRule="auto"/>
            </w:pPr>
            <w:r>
              <w:rPr>
                <w:rFonts w:ascii="Arial" w:eastAsia="맑은 고딕" w:hAnsi="Arial"/>
                <w:b/>
                <w:bCs/>
                <w:sz w:val="18"/>
                <w:szCs w:val="18"/>
              </w:rPr>
              <w:t>부채비율</w:t>
            </w:r>
          </w:p>
        </w:tc>
        <w:tc>
          <w:tcPr>
            <w:tcW w:w="1802"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center"/>
              <w:spacing w:after="0" w:line="264" w:lineRule="auto"/>
            </w:pPr>
            <w:r>
              <w:rPr>
                <w:rFonts w:ascii="Arial" w:eastAsia="맑은 고딕" w:hAnsi="Arial"/>
                <w:b/>
                <w:bCs/>
                <w:sz w:val="18"/>
                <w:szCs w:val="18"/>
              </w:rPr>
              <w:t>장기차입부채</w:t>
            </w:r>
          </w:p>
        </w:tc>
      </w:tr>
      <w:tr>
        <w:trPr/>
        <w:tc>
          <w:tcPr>
            <w:tcW w:w="1803"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val="0"/>
                <w:bCs w:val="0"/>
                <w:sz w:val="18"/>
                <w:szCs w:val="18"/>
              </w:rPr>
              <w:t>대전도시공사</w:t>
            </w:r>
          </w:p>
        </w:tc>
        <w:tc>
          <w:tcPr>
            <w:tcW w:w="2479"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val="0"/>
                <w:bCs w:val="0"/>
                <w:sz w:val="18"/>
                <w:szCs w:val="18"/>
              </w:rPr>
              <w:t>1조 3,954.7억</w:t>
            </w:r>
          </w:p>
        </w:tc>
        <w:tc>
          <w:tcPr>
            <w:tcW w:w="1803"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val="0"/>
                <w:bCs w:val="0"/>
                <w:sz w:val="18"/>
                <w:szCs w:val="18"/>
              </w:rPr>
              <w:t>8,576.3억</w:t>
            </w:r>
          </w:p>
        </w:tc>
        <w:tc>
          <w:tcPr>
            <w:tcW w:w="901"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val="0"/>
                <w:bCs w:val="0"/>
                <w:sz w:val="18"/>
                <w:szCs w:val="18"/>
              </w:rPr>
              <w:t>61%</w:t>
            </w:r>
          </w:p>
        </w:tc>
        <w:tc>
          <w:tcPr>
            <w:tcW w:w="1802"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val="0"/>
                <w:bCs w:val="0"/>
                <w:sz w:val="18"/>
                <w:szCs w:val="18"/>
              </w:rPr>
              <w:t>6,206.4억</w:t>
            </w:r>
          </w:p>
        </w:tc>
      </w:tr>
      <w:tr>
        <w:trPr/>
        <w:tc>
          <w:tcPr>
            <w:tcW w:w="1803"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val="0"/>
                <w:bCs w:val="0"/>
                <w:sz w:val="18"/>
                <w:szCs w:val="18"/>
              </w:rPr>
              <w:t>대전교통공사</w:t>
            </w:r>
          </w:p>
        </w:tc>
        <w:tc>
          <w:tcPr>
            <w:tcW w:w="2479"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val="0"/>
                <w:bCs w:val="0"/>
                <w:sz w:val="18"/>
                <w:szCs w:val="18"/>
              </w:rPr>
              <w:t>1조 3,242.2억</w:t>
            </w:r>
          </w:p>
        </w:tc>
        <w:tc>
          <w:tcPr>
            <w:tcW w:w="1803"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val="0"/>
                <w:bCs w:val="0"/>
                <w:sz w:val="18"/>
                <w:szCs w:val="18"/>
              </w:rPr>
              <w:t>541.8억</w:t>
            </w:r>
          </w:p>
        </w:tc>
        <w:tc>
          <w:tcPr>
            <w:tcW w:w="901"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val="0"/>
                <w:bCs w:val="0"/>
                <w:sz w:val="18"/>
                <w:szCs w:val="18"/>
              </w:rPr>
              <w:t>4%</w:t>
            </w:r>
          </w:p>
        </w:tc>
        <w:tc>
          <w:tcPr>
            <w:tcW w:w="1802"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val="0"/>
                <w:bCs w:val="0"/>
                <w:sz w:val="18"/>
                <w:szCs w:val="18"/>
              </w:rPr>
              <w:t>0원</w:t>
            </w:r>
          </w:p>
        </w:tc>
      </w:tr>
      <w:tr>
        <w:trPr/>
        <w:tc>
          <w:tcPr>
            <w:tcW w:w="1803"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val="0"/>
                <w:bCs w:val="0"/>
                <w:sz w:val="18"/>
                <w:szCs w:val="18"/>
              </w:rPr>
              <w:t>대전관광공사</w:t>
            </w:r>
          </w:p>
        </w:tc>
        <w:tc>
          <w:tcPr>
            <w:tcW w:w="2479"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val="0"/>
                <w:bCs w:val="0"/>
                <w:sz w:val="18"/>
                <w:szCs w:val="18"/>
              </w:rPr>
              <w:t>2,692.7억</w:t>
            </w:r>
          </w:p>
        </w:tc>
        <w:tc>
          <w:tcPr>
            <w:tcW w:w="1803"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val="0"/>
                <w:bCs w:val="0"/>
                <w:sz w:val="18"/>
                <w:szCs w:val="18"/>
              </w:rPr>
              <w:t>403.2억</w:t>
            </w:r>
          </w:p>
        </w:tc>
        <w:tc>
          <w:tcPr>
            <w:tcW w:w="901"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val="0"/>
                <w:bCs w:val="0"/>
                <w:sz w:val="18"/>
                <w:szCs w:val="18"/>
              </w:rPr>
              <w:t>15%</w:t>
            </w:r>
          </w:p>
        </w:tc>
        <w:tc>
          <w:tcPr>
            <w:tcW w:w="1802"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val="0"/>
                <w:bCs w:val="0"/>
                <w:sz w:val="18"/>
                <w:szCs w:val="18"/>
              </w:rPr>
              <w:t>31.5억</w:t>
            </w:r>
          </w:p>
        </w:tc>
      </w:tr>
      <w:tr>
        <w:trPr/>
        <w:tc>
          <w:tcPr>
            <w:tcW w:w="1803"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val="0"/>
                <w:bCs w:val="0"/>
                <w:sz w:val="18"/>
                <w:szCs w:val="18"/>
              </w:rPr>
              <w:t>대전시설관리공단</w:t>
            </w:r>
          </w:p>
        </w:tc>
        <w:tc>
          <w:tcPr>
            <w:tcW w:w="2479"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val="0"/>
                <w:bCs w:val="0"/>
                <w:sz w:val="18"/>
                <w:szCs w:val="18"/>
              </w:rPr>
              <w:t>94.8억</w:t>
            </w:r>
          </w:p>
        </w:tc>
        <w:tc>
          <w:tcPr>
            <w:tcW w:w="1803"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val="0"/>
                <w:bCs w:val="0"/>
                <w:sz w:val="18"/>
                <w:szCs w:val="18"/>
              </w:rPr>
              <w:t>70.2억</w:t>
            </w:r>
          </w:p>
        </w:tc>
        <w:tc>
          <w:tcPr>
            <w:tcW w:w="901"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val="0"/>
                <w:bCs w:val="0"/>
                <w:sz w:val="18"/>
                <w:szCs w:val="18"/>
              </w:rPr>
              <w:t>74%</w:t>
            </w:r>
          </w:p>
        </w:tc>
        <w:tc>
          <w:tcPr>
            <w:tcW w:w="1802"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val="0"/>
                <w:bCs w:val="0"/>
                <w:sz w:val="18"/>
                <w:szCs w:val="18"/>
              </w:rPr>
              <w:t>0원</w:t>
            </w:r>
          </w:p>
        </w:tc>
      </w:tr>
      <w:tr>
        <w:trPr/>
        <w:tc>
          <w:tcPr>
            <w:tcW w:w="1803"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bCs/>
                <w:sz w:val="18"/>
                <w:szCs w:val="18"/>
              </w:rPr>
              <w:t>계</w:t>
            </w:r>
          </w:p>
        </w:tc>
        <w:tc>
          <w:tcPr>
            <w:tcW w:w="2479"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bCs/>
                <w:sz w:val="18"/>
                <w:szCs w:val="18"/>
              </w:rPr>
              <w:t>2조 9,984.4억</w:t>
            </w:r>
          </w:p>
        </w:tc>
        <w:tc>
          <w:tcPr>
            <w:tcW w:w="1803"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bCs/>
                <w:sz w:val="18"/>
                <w:szCs w:val="18"/>
              </w:rPr>
              <w:t>9,591.5억</w:t>
            </w:r>
          </w:p>
        </w:tc>
        <w:tc>
          <w:tcPr>
            <w:tcW w:w="901"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bCs/>
                <w:sz w:val="18"/>
                <w:szCs w:val="18"/>
              </w:rPr>
              <w:t>32%</w:t>
            </w:r>
          </w:p>
        </w:tc>
        <w:tc>
          <w:tcPr>
            <w:tcW w:w="1802"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bCs/>
                <w:sz w:val="18"/>
                <w:szCs w:val="18"/>
              </w:rPr>
              <w:t>6,237.9억</w:t>
            </w:r>
          </w:p>
        </w:tc>
      </w:tr>
    </w:tbl>
    <w:p>
      <w:pPr>
        <w:spacing w:after="0"/>
      </w:pPr>
    </w:p>
    <w:p>
      <w:pPr>
        <w:jc w:val="left"/>
        <w:spacing w:after="120" w:before="0" w:line="384" w:lineRule="auto"/>
      </w:pPr>
      <w:r>
        <w:rPr>
          <w:rFonts w:ascii="Arial" w:eastAsia="맑은 고딕" w:hAnsi="Arial"/>
          <w:b w:val="0"/>
          <w:bCs w:val="0"/>
          <w:sz w:val="16"/>
          <w:szCs w:val="16"/>
        </w:rPr>
        <w:t>출처: 2025회계연도 결산서 첨부서류 (18) 지역통합재정통계 보고서 2-7-3·2-7-4 부문별 재정상태</w:t>
      </w:r>
    </w:p>
    <w:p>
      <w:pPr>
        <w:ind w:firstLine="200"/>
        <w:jc w:val="both"/>
        <w:spacing w:after="60" w:before="0" w:line="384" w:lineRule="auto"/>
      </w:pPr>
      <w:r>
        <w:rPr>
          <w:rFonts w:ascii="Arial" w:eastAsia="맑은 고딕" w:hAnsi="Arial"/>
          <w:b w:val="0"/>
          <w:bCs w:val="0"/>
          <w:sz w:val="20"/>
          <w:szCs w:val="20"/>
        </w:rPr>
        <w:t xml:space="preserve">네 기관 부채 9,591억 원 가운데 </w:t>
      </w:r>
      <w:r>
        <w:rPr>
          <w:rFonts w:ascii="Arial" w:eastAsia="맑은 고딕" w:hAnsi="Arial"/>
          <w:b/>
          <w:bCs/>
          <w:sz w:val="20"/>
          <w:szCs w:val="20"/>
        </w:rPr>
        <w:t>8,576억 원(89%)이 대전도시공사 한 곳에 몰려</w:t>
      </w:r>
      <w:r>
        <w:rPr>
          <w:rFonts w:ascii="Arial" w:eastAsia="맑은 고딕" w:hAnsi="Arial"/>
          <w:b w:val="0"/>
          <w:bCs w:val="0"/>
          <w:sz w:val="20"/>
          <w:szCs w:val="20"/>
        </w:rPr>
        <w:t xml:space="preserve"> 있다. 그중 장기차입부채가 6,206억 원이다.</w:t>
      </w:r>
    </w:p>
    <w:p>
      <w:pPr>
        <w:jc w:val="left"/>
        <w:spacing w:after="100" w:before="240" w:line="384" w:lineRule="auto"/>
      </w:pPr>
      <w:r>
        <w:rPr>
          <w:rFonts w:ascii="Arial" w:eastAsia="맑은 고딕" w:hAnsi="Arial"/>
          <w:b/>
          <w:bCs/>
          <w:sz w:val="22"/>
          <w:szCs w:val="22"/>
        </w:rPr>
        <w:t>2. 세입의 절반이 빌린 돈</w:t>
      </w:r>
    </w:p>
    <w:p>
      <w:pPr>
        <w:jc w:val="center"/>
        <w:spacing w:after="60" w:before="160" w:line="384" w:lineRule="auto"/>
      </w:pPr>
      <w:r>
        <w:rPr>
          <w:rFonts w:ascii="Arial" w:eastAsia="맑은 고딕" w:hAnsi="Arial"/>
          <w:b/>
          <w:bCs/>
          <w:sz w:val="20"/>
          <w:szCs w:val="20"/>
        </w:rPr>
        <w:t>&lt;표 14&gt; 대전도시공사 2025년 세입 구조</w:t>
      </w:r>
    </w:p>
    <w:tbl>
      <w:tblPr>
        <w:tblW w:w="87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96"/>
        <w:gridCol w:w="1798"/>
        <w:gridCol w:w="999"/>
        <w:gridCol w:w="3395"/>
      </w:tblGrid>
      <w:tr>
        <w:trPr>
          <w:tblHeader/>
        </w:trPr>
        <w:tc>
          <w:tcPr>
            <w:tcW w:w="2596"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center"/>
              <w:spacing w:after="0" w:line="264" w:lineRule="auto"/>
            </w:pPr>
            <w:r>
              <w:rPr>
                <w:rFonts w:ascii="Arial" w:eastAsia="맑은 고딕" w:hAnsi="Arial"/>
                <w:b/>
                <w:bCs/>
                <w:sz w:val="18"/>
                <w:szCs w:val="18"/>
              </w:rPr>
              <w:t>항목</w:t>
            </w:r>
          </w:p>
        </w:tc>
        <w:tc>
          <w:tcPr>
            <w:tcW w:w="1798"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center"/>
              <w:spacing w:after="0" w:line="264" w:lineRule="auto"/>
            </w:pPr>
            <w:r>
              <w:rPr>
                <w:rFonts w:ascii="Arial" w:eastAsia="맑은 고딕" w:hAnsi="Arial"/>
                <w:b/>
                <w:bCs/>
                <w:sz w:val="18"/>
                <w:szCs w:val="18"/>
              </w:rPr>
              <w:t>금액</w:t>
            </w:r>
          </w:p>
        </w:tc>
        <w:tc>
          <w:tcPr>
            <w:tcW w:w="999"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center"/>
              <w:spacing w:after="0" w:line="264" w:lineRule="auto"/>
            </w:pPr>
            <w:r>
              <w:rPr>
                <w:rFonts w:ascii="Arial" w:eastAsia="맑은 고딕" w:hAnsi="Arial"/>
                <w:b/>
                <w:bCs/>
                <w:sz w:val="18"/>
                <w:szCs w:val="18"/>
              </w:rPr>
              <w:t>비중</w:t>
            </w:r>
          </w:p>
        </w:tc>
        <w:tc>
          <w:tcPr>
            <w:tcW w:w="3395"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center"/>
              <w:spacing w:after="0" w:line="264" w:lineRule="auto"/>
            </w:pPr>
            <w:r>
              <w:rPr>
                <w:rFonts w:ascii="Arial" w:eastAsia="맑은 고딕" w:hAnsi="Arial"/>
                <w:b/>
                <w:bCs/>
                <w:sz w:val="18"/>
                <w:szCs w:val="18"/>
              </w:rPr>
              <w:t>비고</w:t>
            </w:r>
          </w:p>
        </w:tc>
      </w:tr>
      <w:tr>
        <w:trPr/>
        <w:tc>
          <w:tcPr>
            <w:tcW w:w="2596"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val="0"/>
                <w:bCs w:val="0"/>
                <w:sz w:val="18"/>
                <w:szCs w:val="18"/>
              </w:rPr>
              <w:t>자체수입(사업수입 등)</w:t>
            </w:r>
          </w:p>
        </w:tc>
        <w:tc>
          <w:tcPr>
            <w:tcW w:w="1798"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val="0"/>
                <w:bCs w:val="0"/>
                <w:sz w:val="18"/>
                <w:szCs w:val="18"/>
              </w:rPr>
              <w:t>1,634.9억</w:t>
            </w:r>
          </w:p>
        </w:tc>
        <w:tc>
          <w:tcPr>
            <w:tcW w:w="999"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val="0"/>
                <w:bCs w:val="0"/>
                <w:sz w:val="18"/>
                <w:szCs w:val="18"/>
              </w:rPr>
              <w:t>15.0%</w:t>
            </w:r>
          </w:p>
        </w:tc>
        <w:tc>
          <w:tcPr>
            <w:tcW w:w="3395"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p>
        </w:tc>
      </w:tr>
      <w:tr>
        <w:trPr/>
        <w:tc>
          <w:tcPr>
            <w:tcW w:w="2596"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val="0"/>
                <w:bCs w:val="0"/>
                <w:sz w:val="18"/>
                <w:szCs w:val="18"/>
              </w:rPr>
              <w:t>이전수입(국비·시비)</w:t>
            </w:r>
          </w:p>
        </w:tc>
        <w:tc>
          <w:tcPr>
            <w:tcW w:w="1798"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val="0"/>
                <w:bCs w:val="0"/>
                <w:sz w:val="18"/>
                <w:szCs w:val="18"/>
              </w:rPr>
              <w:t>161.9억</w:t>
            </w:r>
          </w:p>
        </w:tc>
        <w:tc>
          <w:tcPr>
            <w:tcW w:w="999"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val="0"/>
                <w:bCs w:val="0"/>
                <w:sz w:val="18"/>
                <w:szCs w:val="18"/>
              </w:rPr>
              <w:t>1.5%</w:t>
            </w:r>
          </w:p>
        </w:tc>
        <w:tc>
          <w:tcPr>
            <w:tcW w:w="3395"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p>
        </w:tc>
      </w:tr>
      <w:tr>
        <w:trPr/>
        <w:tc>
          <w:tcPr>
            <w:tcW w:w="2596"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bCs/>
                <w:sz w:val="18"/>
                <w:szCs w:val="18"/>
              </w:rPr>
              <w:t>차입금 수입(지방채 등)</w:t>
            </w:r>
          </w:p>
        </w:tc>
        <w:tc>
          <w:tcPr>
            <w:tcW w:w="1798"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bCs/>
                <w:sz w:val="18"/>
                <w:szCs w:val="18"/>
              </w:rPr>
              <w:t>5,546.1억</w:t>
            </w:r>
          </w:p>
        </w:tc>
        <w:tc>
          <w:tcPr>
            <w:tcW w:w="999"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bCs/>
                <w:sz w:val="18"/>
                <w:szCs w:val="18"/>
              </w:rPr>
              <w:t>50.8%</w:t>
            </w:r>
          </w:p>
        </w:tc>
        <w:tc>
          <w:tcPr>
            <w:tcW w:w="3395"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val="0"/>
                <w:bCs w:val="0"/>
                <w:sz w:val="18"/>
                <w:szCs w:val="18"/>
              </w:rPr>
              <w:t>지방공사 전체 차입금의 100%</w:t>
            </w:r>
          </w:p>
        </w:tc>
      </w:tr>
      <w:tr>
        <w:trPr/>
        <w:tc>
          <w:tcPr>
            <w:tcW w:w="2596"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val="0"/>
                <w:bCs w:val="0"/>
                <w:sz w:val="18"/>
                <w:szCs w:val="18"/>
              </w:rPr>
              <w:t>잉여금·이월금 등</w:t>
            </w:r>
          </w:p>
        </w:tc>
        <w:tc>
          <w:tcPr>
            <w:tcW w:w="1798"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val="0"/>
                <w:bCs w:val="0"/>
                <w:sz w:val="18"/>
                <w:szCs w:val="18"/>
              </w:rPr>
              <w:t>3,571.1억</w:t>
            </w:r>
          </w:p>
        </w:tc>
        <w:tc>
          <w:tcPr>
            <w:tcW w:w="999"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val="0"/>
                <w:bCs w:val="0"/>
                <w:sz w:val="18"/>
                <w:szCs w:val="18"/>
              </w:rPr>
              <w:t>32.7%</w:t>
            </w:r>
          </w:p>
        </w:tc>
        <w:tc>
          <w:tcPr>
            <w:tcW w:w="3395"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p>
        </w:tc>
      </w:tr>
      <w:tr>
        <w:trPr/>
        <w:tc>
          <w:tcPr>
            <w:tcW w:w="2596"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val="0"/>
                <w:bCs w:val="0"/>
                <w:sz w:val="18"/>
                <w:szCs w:val="18"/>
              </w:rPr>
              <w:t>세입 계</w:t>
            </w:r>
          </w:p>
        </w:tc>
        <w:tc>
          <w:tcPr>
            <w:tcW w:w="1798"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val="0"/>
                <w:bCs w:val="0"/>
                <w:sz w:val="18"/>
                <w:szCs w:val="18"/>
              </w:rPr>
              <w:t>1조 914.1억</w:t>
            </w:r>
          </w:p>
        </w:tc>
        <w:tc>
          <w:tcPr>
            <w:tcW w:w="999"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val="0"/>
                <w:bCs w:val="0"/>
                <w:sz w:val="18"/>
                <w:szCs w:val="18"/>
              </w:rPr>
              <w:t>100%</w:t>
            </w:r>
          </w:p>
        </w:tc>
        <w:tc>
          <w:tcPr>
            <w:tcW w:w="3395"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p>
        </w:tc>
      </w:tr>
    </w:tbl>
    <w:p>
      <w:pPr>
        <w:spacing w:after="0"/>
      </w:pPr>
    </w:p>
    <w:p>
      <w:pPr>
        <w:jc w:val="left"/>
        <w:spacing w:after="120" w:before="0" w:line="384" w:lineRule="auto"/>
      </w:pPr>
      <w:r>
        <w:rPr>
          <w:rFonts w:ascii="Arial" w:eastAsia="맑은 고딕" w:hAnsi="Arial"/>
          <w:b w:val="0"/>
          <w:bCs w:val="0"/>
          <w:sz w:val="16"/>
          <w:szCs w:val="16"/>
        </w:rPr>
        <w:t>출처: 2025회계연도 결산서 첨부서류 (18) 지역통합재정통계 보고서 2-6-1 부문별 재정규모(세입)</w:t>
      </w:r>
    </w:p>
    <w:p>
      <w:pPr>
        <w:ind w:firstLine="200"/>
        <w:jc w:val="both"/>
        <w:spacing w:after="60" w:before="0" w:line="384" w:lineRule="auto"/>
      </w:pPr>
      <w:r>
        <w:rPr>
          <w:rFonts w:ascii="Arial" w:eastAsia="맑은 고딕" w:hAnsi="Arial"/>
          <w:b w:val="0"/>
          <w:bCs w:val="0"/>
          <w:sz w:val="20"/>
          <w:szCs w:val="20"/>
        </w:rPr>
        <w:t>세입의 절반이 넘는 5,546억 원이 빌린 돈이다. 더구나 2025년 대전시 지방공사가 조달한 차입금 전액이 대전도시공사 한 곳에서 발생했다. 관광공사·교통공사·시설관리공단의 차입금 수입은 모두 0원이다.</w:t>
      </w:r>
    </w:p>
    <w:p>
      <w:pPr>
        <w:ind w:firstLine="200"/>
        <w:jc w:val="both"/>
        <w:spacing w:after="60" w:before="0" w:line="384" w:lineRule="auto"/>
      </w:pPr>
      <w:r>
        <w:rPr>
          <w:rFonts w:ascii="Arial" w:eastAsia="맑은 고딕" w:hAnsi="Arial"/>
          <w:b w:val="0"/>
          <w:bCs w:val="0"/>
          <w:sz w:val="20"/>
          <w:szCs w:val="20"/>
        </w:rPr>
        <w:t>세출 쪽에서는 차입금 상환 등 보전재원이 1,701.3억 원이다. 빌린 5,546억 원에서 갚은 1,701억 원을 빼면 순증 3,845억 원으로, 공사 부채 증가액과 사실상 일치한다. 조달한 자금은 자본지출 4,360.4억 원(세출의 56.5%)으로 나갔다. 개발사업 투자다.</w:t>
      </w:r>
    </w:p>
    <w:p>
      <w:pPr>
        <w:jc w:val="left"/>
        <w:spacing w:after="100" w:before="240" w:line="384" w:lineRule="auto"/>
      </w:pPr>
      <w:r>
        <w:rPr>
          <w:rFonts w:ascii="Arial" w:eastAsia="맑은 고딕" w:hAnsi="Arial"/>
          <w:b/>
          <w:bCs/>
          <w:sz w:val="22"/>
          <w:szCs w:val="22"/>
        </w:rPr>
        <w:t>3. 본예산 밖에서 조달되는 사업 자금</w:t>
      </w:r>
    </w:p>
    <w:p>
      <w:pPr>
        <w:ind w:firstLine="200"/>
        <w:jc w:val="both"/>
        <w:spacing w:after="60" w:before="0" w:line="384" w:lineRule="auto"/>
      </w:pPr>
      <w:r>
        <w:rPr>
          <w:rFonts w:ascii="Arial" w:eastAsia="맑은 고딕" w:hAnsi="Arial"/>
          <w:b w:val="0"/>
          <w:bCs w:val="0"/>
          <w:sz w:val="20"/>
          <w:szCs w:val="20"/>
        </w:rPr>
        <w:t xml:space="preserve">2025년 대전시는 38개 사업에 3,426억 원의 지방채를 발행했다. 같은 해 대전도시공사는 5,546억 원을 차입했다. </w:t>
      </w:r>
      <w:r>
        <w:rPr>
          <w:rFonts w:ascii="Arial" w:eastAsia="맑은 고딕" w:hAnsi="Arial"/>
          <w:b/>
          <w:bCs/>
          <w:sz w:val="20"/>
          <w:szCs w:val="20"/>
        </w:rPr>
        <w:t>성격이 다른 두 주체의 조달이므로 하나로 합산하지는 않는다.</w:t>
      </w:r>
      <w:r>
        <w:rPr>
          <w:rFonts w:ascii="Arial" w:eastAsia="맑은 고딕" w:hAnsi="Arial"/>
          <w:b w:val="0"/>
          <w:bCs w:val="0"/>
          <w:sz w:val="20"/>
          <w:szCs w:val="20"/>
        </w:rPr>
        <w:t xml:space="preserve"> 다만 시가 직접 발행한 지방채보다 산하 공사가 빌린 돈이 1.6배 크다는 사실 자체는 짚을 필요가 있다.</w:t>
      </w:r>
    </w:p>
    <w:p>
      <w:pPr>
        <w:ind w:firstLine="200"/>
        <w:jc w:val="both"/>
        <w:spacing w:after="60" w:before="0" w:line="384" w:lineRule="auto"/>
      </w:pPr>
      <w:r>
        <w:rPr>
          <w:rFonts w:ascii="Arial" w:eastAsia="맑은 고딕" w:hAnsi="Arial"/>
          <w:b w:val="0"/>
          <w:bCs w:val="0"/>
          <w:sz w:val="20"/>
          <w:szCs w:val="20"/>
        </w:rPr>
        <w:t>시 지방채는 지방의회 의결과 공시 절차를 거치지만 공사의 차입은 그 밖에 있다. 재정 감시의 사각지대가 여기에 있다. 앞서 Ⅲ장에서 본 법정 지표는 본청 기준이므로, 공사 부채 증가는 그 지표에 곧바로 잡히지 않는다는 점도 함께 볼 필요가 있다.</w:t>
      </w:r>
    </w:p>
    <w:p>
      <w:pPr>
        <w:ind w:firstLine="200"/>
        <w:jc w:val="both"/>
        <w:spacing w:after="60" w:before="0" w:line="384" w:lineRule="auto"/>
      </w:pPr>
      <w:r>
        <w:rPr>
          <w:rFonts w:ascii="Arial" w:eastAsia="맑은 고딕" w:hAnsi="Arial"/>
          <w:b w:val="0"/>
          <w:bCs w:val="0"/>
          <w:sz w:val="20"/>
          <w:szCs w:val="20"/>
        </w:rPr>
        <w:t>2025년 발행한 지방채 중 규모가 큰 것은 도시철도 2호선 건설 관련 973억 원(3건), 지역개발채권 717억 원(2건), 베이스볼 드림파크 조성 200억 원, 재난관리기금 전출 191억 원 등이다.</w:t>
      </w:r>
    </w:p>
    <w:p>
      <w:pPr>
        <w:ind w:firstLine="200"/>
        <w:jc w:val="both"/>
        <w:spacing w:after="60" w:before="0" w:line="384" w:lineRule="auto"/>
      </w:pPr>
      <w:r>
        <w:rPr>
          <w:rFonts w:ascii="Arial" w:eastAsia="맑은 고딕" w:hAnsi="Arial"/>
          <w:b w:val="0"/>
          <w:bCs w:val="0"/>
          <w:sz w:val="20"/>
          <w:szCs w:val="20"/>
        </w:rPr>
        <w:t xml:space="preserve">이 가운데 '재난관리기금 전출' 191억 원은 짚어 둘 필요가 있다. 이 191억 원은 지방채로 조달해 일반회계에서 재난관리기금으로 넘긴 돈인데, 기금은 같은 해 196.7억 원을 지출했다. 그래서 기금 잔액은 602.7억 원에서 609.8억 원으로 7.2억 원만 늘었다. </w:t>
      </w:r>
      <w:r>
        <w:rPr>
          <w:rFonts w:ascii="Arial" w:eastAsia="맑은 고딕" w:hAnsi="Arial"/>
          <w:b/>
          <w:bCs/>
          <w:sz w:val="20"/>
          <w:szCs w:val="20"/>
        </w:rPr>
        <w:t>비상금을 쌓은 것이 아니라 그해 써야 할 돈을 빚으로 메운 셈이다.</w:t>
      </w:r>
      <w:r>
        <w:rPr>
          <w:rFonts w:ascii="Arial" w:eastAsia="맑은 고딕" w:hAnsi="Arial"/>
          <w:b w:val="0"/>
          <w:bCs w:val="0"/>
          <w:sz w:val="20"/>
          <w:szCs w:val="20"/>
        </w:rPr>
        <w:t xml:space="preserve"> 이 지방채는 1년 거치 일시상환 조건이어서 2026년에 상환 재원이 필요하다.</w:t>
      </w:r>
    </w:p>
    <w:p>
      <w:r>
        <w:br w:type="page"/>
      </w:r>
    </w:p>
    <w:p>
      <w:pPr>
        <w:jc w:val="left"/>
        <w:spacing w:after="140" w:before="320" w:line="384" w:lineRule="auto"/>
      </w:pPr>
      <w:r>
        <w:rPr>
          <w:rFonts w:ascii="Arial" w:eastAsia="맑은 고딕" w:hAnsi="Arial"/>
          <w:b/>
          <w:bCs/>
          <w:sz w:val="26"/>
          <w:szCs w:val="26"/>
        </w:rPr>
        <w:t>Ⅵ. 10년 재정 추이(2016~2025)</w:t>
      </w:r>
    </w:p>
    <w:p>
      <w:pPr>
        <w:jc w:val="left"/>
        <w:spacing w:after="100" w:before="240" w:line="384" w:lineRule="auto"/>
      </w:pPr>
      <w:r>
        <w:rPr>
          <w:rFonts w:ascii="Arial" w:eastAsia="맑은 고딕" w:hAnsi="Arial"/>
          <w:b/>
          <w:bCs/>
          <w:sz w:val="22"/>
          <w:szCs w:val="22"/>
        </w:rPr>
        <w:t>1. 몸집은 2배, 빚은 그보다 빠르게</w:t>
      </w:r>
    </w:p>
    <w:p>
      <w:pPr>
        <w:jc w:val="center"/>
        <w:spacing w:after="60" w:before="160" w:line="384" w:lineRule="auto"/>
      </w:pPr>
      <w:r>
        <w:rPr>
          <w:rFonts w:ascii="Arial" w:eastAsia="맑은 고딕" w:hAnsi="Arial"/>
          <w:b/>
          <w:bCs/>
          <w:sz w:val="20"/>
          <w:szCs w:val="20"/>
        </w:rPr>
        <w:t>&lt;표 15&gt; 대전광역시 본청 결산 10년 추이</w:t>
      </w:r>
    </w:p>
    <w:tbl>
      <w:tblPr>
        <w:tblW w:w="87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48"/>
        <w:gridCol w:w="1309"/>
        <w:gridCol w:w="1309"/>
        <w:gridCol w:w="1122"/>
        <w:gridCol w:w="1309"/>
        <w:gridCol w:w="1309"/>
        <w:gridCol w:w="1682"/>
      </w:tblGrid>
      <w:tr>
        <w:trPr>
          <w:tblHeader/>
        </w:trPr>
        <w:tc>
          <w:tcPr>
            <w:tcW w:w="748"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center"/>
              <w:spacing w:after="0" w:line="264" w:lineRule="auto"/>
            </w:pPr>
            <w:r>
              <w:rPr>
                <w:rFonts w:ascii="Arial" w:eastAsia="맑은 고딕" w:hAnsi="Arial"/>
                <w:b/>
                <w:bCs/>
                <w:sz w:val="18"/>
                <w:szCs w:val="18"/>
              </w:rPr>
              <w:t>연도</w:t>
            </w:r>
          </w:p>
        </w:tc>
        <w:tc>
          <w:tcPr>
            <w:tcW w:w="1309"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center"/>
              <w:spacing w:after="0" w:line="264" w:lineRule="auto"/>
            </w:pPr>
            <w:r>
              <w:rPr>
                <w:rFonts w:ascii="Arial" w:eastAsia="맑은 고딕" w:hAnsi="Arial"/>
                <w:b/>
                <w:bCs/>
                <w:sz w:val="18"/>
                <w:szCs w:val="18"/>
              </w:rPr>
              <w:t>세입</w:t>
            </w:r>
          </w:p>
        </w:tc>
        <w:tc>
          <w:tcPr>
            <w:tcW w:w="1309"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center"/>
              <w:spacing w:after="0" w:line="264" w:lineRule="auto"/>
            </w:pPr>
            <w:r>
              <w:rPr>
                <w:rFonts w:ascii="Arial" w:eastAsia="맑은 고딕" w:hAnsi="Arial"/>
                <w:b/>
                <w:bCs/>
                <w:sz w:val="18"/>
                <w:szCs w:val="18"/>
              </w:rPr>
              <w:t>세출</w:t>
            </w:r>
          </w:p>
        </w:tc>
        <w:tc>
          <w:tcPr>
            <w:tcW w:w="1122"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center"/>
              <w:spacing w:after="0" w:line="264" w:lineRule="auto"/>
            </w:pPr>
            <w:r>
              <w:rPr>
                <w:rFonts w:ascii="Arial" w:eastAsia="맑은 고딕" w:hAnsi="Arial"/>
                <w:b/>
                <w:bCs/>
                <w:sz w:val="18"/>
                <w:szCs w:val="18"/>
              </w:rPr>
              <w:t>세출 증감</w:t>
            </w:r>
          </w:p>
        </w:tc>
        <w:tc>
          <w:tcPr>
            <w:tcW w:w="1309"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center"/>
              <w:spacing w:after="0" w:line="264" w:lineRule="auto"/>
            </w:pPr>
            <w:r>
              <w:rPr>
                <w:rFonts w:ascii="Arial" w:eastAsia="맑은 고딕" w:hAnsi="Arial"/>
                <w:b/>
                <w:bCs/>
                <w:sz w:val="18"/>
                <w:szCs w:val="18"/>
              </w:rPr>
              <w:t>채무 잔액</w:t>
            </w:r>
          </w:p>
        </w:tc>
        <w:tc>
          <w:tcPr>
            <w:tcW w:w="1309"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center"/>
              <w:spacing w:after="0" w:line="264" w:lineRule="auto"/>
            </w:pPr>
            <w:r>
              <w:rPr>
                <w:rFonts w:ascii="Arial" w:eastAsia="맑은 고딕" w:hAnsi="Arial"/>
                <w:b/>
                <w:bCs/>
                <w:sz w:val="18"/>
                <w:szCs w:val="18"/>
              </w:rPr>
              <w:t>부채</w:t>
            </w:r>
          </w:p>
        </w:tc>
        <w:tc>
          <w:tcPr>
            <w:tcW w:w="1682"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center"/>
              <w:spacing w:after="0" w:line="264" w:lineRule="auto"/>
            </w:pPr>
            <w:r>
              <w:rPr>
                <w:rFonts w:ascii="Arial" w:eastAsia="맑은 고딕" w:hAnsi="Arial"/>
                <w:b/>
                <w:bCs/>
                <w:sz w:val="18"/>
                <w:szCs w:val="18"/>
              </w:rPr>
              <w:t>재정자립도</w:t>
            </w:r>
          </w:p>
        </w:tc>
      </w:tr>
      <w:tr>
        <w:trPr/>
        <w:tc>
          <w:tcPr>
            <w:tcW w:w="748"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val="0"/>
                <w:bCs w:val="0"/>
                <w:sz w:val="18"/>
                <w:szCs w:val="18"/>
              </w:rPr>
              <w:t>2016</w:t>
            </w:r>
          </w:p>
        </w:tc>
        <w:tc>
          <w:tcPr>
            <w:tcW w:w="1309"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val="0"/>
                <w:bCs w:val="0"/>
                <w:sz w:val="18"/>
                <w:szCs w:val="18"/>
              </w:rPr>
              <w:t>47,769억</w:t>
            </w:r>
          </w:p>
        </w:tc>
        <w:tc>
          <w:tcPr>
            <w:tcW w:w="1309"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val="0"/>
                <w:bCs w:val="0"/>
                <w:sz w:val="18"/>
                <w:szCs w:val="18"/>
              </w:rPr>
              <w:t>37,909억</w:t>
            </w:r>
          </w:p>
        </w:tc>
        <w:tc>
          <w:tcPr>
            <w:tcW w:w="1122"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val="0"/>
                <w:bCs w:val="0"/>
                <w:sz w:val="18"/>
                <w:szCs w:val="18"/>
              </w:rPr>
              <w:t>–</w:t>
            </w:r>
          </w:p>
        </w:tc>
        <w:tc>
          <w:tcPr>
            <w:tcW w:w="1309"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val="0"/>
                <w:bCs w:val="0"/>
                <w:sz w:val="18"/>
                <w:szCs w:val="18"/>
              </w:rPr>
              <w:t>6,681억</w:t>
            </w:r>
          </w:p>
        </w:tc>
        <w:tc>
          <w:tcPr>
            <w:tcW w:w="1309"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val="0"/>
                <w:bCs w:val="0"/>
                <w:sz w:val="18"/>
                <w:szCs w:val="18"/>
              </w:rPr>
              <w:t>10,491억</w:t>
            </w:r>
          </w:p>
        </w:tc>
        <w:tc>
          <w:tcPr>
            <w:tcW w:w="1682"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val="0"/>
                <w:bCs w:val="0"/>
                <w:sz w:val="18"/>
                <w:szCs w:val="18"/>
              </w:rPr>
              <w:t>51.90%</w:t>
            </w:r>
          </w:p>
        </w:tc>
      </w:tr>
      <w:tr>
        <w:trPr/>
        <w:tc>
          <w:tcPr>
            <w:tcW w:w="748"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val="0"/>
                <w:bCs w:val="0"/>
                <w:sz w:val="18"/>
                <w:szCs w:val="18"/>
              </w:rPr>
              <w:t>2017</w:t>
            </w:r>
          </w:p>
        </w:tc>
        <w:tc>
          <w:tcPr>
            <w:tcW w:w="1309"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val="0"/>
                <w:bCs w:val="0"/>
                <w:sz w:val="18"/>
                <w:szCs w:val="18"/>
              </w:rPr>
              <w:t>46,775억</w:t>
            </w:r>
          </w:p>
        </w:tc>
        <w:tc>
          <w:tcPr>
            <w:tcW w:w="1309"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val="0"/>
                <w:bCs w:val="0"/>
                <w:sz w:val="18"/>
                <w:szCs w:val="18"/>
              </w:rPr>
              <w:t>41,491억</w:t>
            </w:r>
          </w:p>
        </w:tc>
        <w:tc>
          <w:tcPr>
            <w:tcW w:w="1122"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val="0"/>
                <w:bCs w:val="0"/>
                <w:sz w:val="18"/>
                <w:szCs w:val="18"/>
              </w:rPr>
              <w:t>+9.4%</w:t>
            </w:r>
          </w:p>
        </w:tc>
        <w:tc>
          <w:tcPr>
            <w:tcW w:w="1309"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val="0"/>
                <w:bCs w:val="0"/>
                <w:sz w:val="18"/>
                <w:szCs w:val="18"/>
              </w:rPr>
              <w:t>6,442억</w:t>
            </w:r>
          </w:p>
        </w:tc>
        <w:tc>
          <w:tcPr>
            <w:tcW w:w="1309"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val="0"/>
                <w:bCs w:val="0"/>
                <w:sz w:val="18"/>
                <w:szCs w:val="18"/>
              </w:rPr>
              <w:t>10,053억</w:t>
            </w:r>
          </w:p>
        </w:tc>
        <w:tc>
          <w:tcPr>
            <w:tcW w:w="1682"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val="0"/>
                <w:bCs w:val="0"/>
                <w:sz w:val="18"/>
                <w:szCs w:val="18"/>
              </w:rPr>
              <w:t>51.31%</w:t>
            </w:r>
          </w:p>
        </w:tc>
      </w:tr>
      <w:tr>
        <w:trPr/>
        <w:tc>
          <w:tcPr>
            <w:tcW w:w="748"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val="0"/>
                <w:bCs w:val="0"/>
                <w:sz w:val="18"/>
                <w:szCs w:val="18"/>
              </w:rPr>
              <w:t>2018</w:t>
            </w:r>
          </w:p>
        </w:tc>
        <w:tc>
          <w:tcPr>
            <w:tcW w:w="1309"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val="0"/>
                <w:bCs w:val="0"/>
                <w:sz w:val="18"/>
                <w:szCs w:val="18"/>
              </w:rPr>
              <w:t>49,923억</w:t>
            </w:r>
          </w:p>
        </w:tc>
        <w:tc>
          <w:tcPr>
            <w:tcW w:w="1309"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val="0"/>
                <w:bCs w:val="0"/>
                <w:sz w:val="18"/>
                <w:szCs w:val="18"/>
              </w:rPr>
              <w:t>44,051억</w:t>
            </w:r>
          </w:p>
        </w:tc>
        <w:tc>
          <w:tcPr>
            <w:tcW w:w="1122"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val="0"/>
                <w:bCs w:val="0"/>
                <w:sz w:val="18"/>
                <w:szCs w:val="18"/>
              </w:rPr>
              <w:t>+6.2%</w:t>
            </w:r>
          </w:p>
        </w:tc>
        <w:tc>
          <w:tcPr>
            <w:tcW w:w="1309"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val="0"/>
                <w:bCs w:val="0"/>
                <w:sz w:val="18"/>
                <w:szCs w:val="18"/>
              </w:rPr>
              <w:t>6,039억</w:t>
            </w:r>
          </w:p>
        </w:tc>
        <w:tc>
          <w:tcPr>
            <w:tcW w:w="1309"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val="0"/>
                <w:bCs w:val="0"/>
                <w:sz w:val="18"/>
                <w:szCs w:val="18"/>
              </w:rPr>
              <w:t>9,034억</w:t>
            </w:r>
          </w:p>
        </w:tc>
        <w:tc>
          <w:tcPr>
            <w:tcW w:w="1682"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val="0"/>
                <w:bCs w:val="0"/>
                <w:sz w:val="18"/>
                <w:szCs w:val="18"/>
              </w:rPr>
              <w:t>44.64%</w:t>
            </w:r>
          </w:p>
        </w:tc>
      </w:tr>
      <w:tr>
        <w:trPr/>
        <w:tc>
          <w:tcPr>
            <w:tcW w:w="748"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val="0"/>
                <w:bCs w:val="0"/>
                <w:sz w:val="18"/>
                <w:szCs w:val="18"/>
              </w:rPr>
              <w:t>2019</w:t>
            </w:r>
          </w:p>
        </w:tc>
        <w:tc>
          <w:tcPr>
            <w:tcW w:w="1309"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val="0"/>
                <w:bCs w:val="0"/>
                <w:sz w:val="18"/>
                <w:szCs w:val="18"/>
              </w:rPr>
              <w:t>57,294억</w:t>
            </w:r>
          </w:p>
        </w:tc>
        <w:tc>
          <w:tcPr>
            <w:tcW w:w="1309"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val="0"/>
                <w:bCs w:val="0"/>
                <w:sz w:val="18"/>
                <w:szCs w:val="18"/>
              </w:rPr>
              <w:t>50,565억</w:t>
            </w:r>
          </w:p>
        </w:tc>
        <w:tc>
          <w:tcPr>
            <w:tcW w:w="1122"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val="0"/>
                <w:bCs w:val="0"/>
                <w:sz w:val="18"/>
                <w:szCs w:val="18"/>
              </w:rPr>
              <w:t>+14.8%</w:t>
            </w:r>
          </w:p>
        </w:tc>
        <w:tc>
          <w:tcPr>
            <w:tcW w:w="1309"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val="0"/>
                <w:bCs w:val="0"/>
                <w:sz w:val="18"/>
                <w:szCs w:val="18"/>
              </w:rPr>
              <w:t>5,960억</w:t>
            </w:r>
          </w:p>
        </w:tc>
        <w:tc>
          <w:tcPr>
            <w:tcW w:w="1309"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val="0"/>
                <w:bCs w:val="0"/>
                <w:sz w:val="18"/>
                <w:szCs w:val="18"/>
              </w:rPr>
              <w:t>9,520억</w:t>
            </w:r>
          </w:p>
        </w:tc>
        <w:tc>
          <w:tcPr>
            <w:tcW w:w="1682"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val="0"/>
                <w:bCs w:val="0"/>
                <w:sz w:val="18"/>
                <w:szCs w:val="18"/>
              </w:rPr>
              <w:t>42.81%</w:t>
            </w:r>
          </w:p>
        </w:tc>
      </w:tr>
      <w:tr>
        <w:trPr/>
        <w:tc>
          <w:tcPr>
            <w:tcW w:w="748"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val="0"/>
                <w:bCs w:val="0"/>
                <w:sz w:val="18"/>
                <w:szCs w:val="18"/>
              </w:rPr>
              <w:t>2020</w:t>
            </w:r>
          </w:p>
        </w:tc>
        <w:tc>
          <w:tcPr>
            <w:tcW w:w="1309"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val="0"/>
                <w:bCs w:val="0"/>
                <w:sz w:val="18"/>
                <w:szCs w:val="18"/>
              </w:rPr>
              <w:t>65,272억</w:t>
            </w:r>
          </w:p>
        </w:tc>
        <w:tc>
          <w:tcPr>
            <w:tcW w:w="1309"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val="0"/>
                <w:bCs w:val="0"/>
                <w:sz w:val="18"/>
                <w:szCs w:val="18"/>
              </w:rPr>
              <w:t>58,055억</w:t>
            </w:r>
          </w:p>
        </w:tc>
        <w:tc>
          <w:tcPr>
            <w:tcW w:w="1122"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val="0"/>
                <w:bCs w:val="0"/>
                <w:sz w:val="18"/>
                <w:szCs w:val="18"/>
              </w:rPr>
              <w:t>+14.8%</w:t>
            </w:r>
          </w:p>
        </w:tc>
        <w:tc>
          <w:tcPr>
            <w:tcW w:w="1309"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val="0"/>
                <w:bCs w:val="0"/>
                <w:sz w:val="18"/>
                <w:szCs w:val="18"/>
              </w:rPr>
              <w:t>8,005억</w:t>
            </w:r>
          </w:p>
        </w:tc>
        <w:tc>
          <w:tcPr>
            <w:tcW w:w="1309"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val="0"/>
                <w:bCs w:val="0"/>
                <w:sz w:val="18"/>
                <w:szCs w:val="18"/>
              </w:rPr>
              <w:t>11,764억</w:t>
            </w:r>
          </w:p>
        </w:tc>
        <w:tc>
          <w:tcPr>
            <w:tcW w:w="1682"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val="0"/>
                <w:bCs w:val="0"/>
                <w:sz w:val="18"/>
                <w:szCs w:val="18"/>
              </w:rPr>
              <w:t>43.36%</w:t>
            </w:r>
          </w:p>
        </w:tc>
      </w:tr>
      <w:tr>
        <w:trPr/>
        <w:tc>
          <w:tcPr>
            <w:tcW w:w="748"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val="0"/>
                <w:bCs w:val="0"/>
                <w:sz w:val="18"/>
                <w:szCs w:val="18"/>
              </w:rPr>
              <w:t>2021</w:t>
            </w:r>
          </w:p>
        </w:tc>
        <w:tc>
          <w:tcPr>
            <w:tcW w:w="1309"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val="0"/>
                <w:bCs w:val="0"/>
                <w:sz w:val="18"/>
                <w:szCs w:val="18"/>
              </w:rPr>
              <w:t>73,128억</w:t>
            </w:r>
          </w:p>
        </w:tc>
        <w:tc>
          <w:tcPr>
            <w:tcW w:w="1309"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val="0"/>
                <w:bCs w:val="0"/>
                <w:sz w:val="18"/>
                <w:szCs w:val="18"/>
              </w:rPr>
              <w:t>67,164억</w:t>
            </w:r>
          </w:p>
        </w:tc>
        <w:tc>
          <w:tcPr>
            <w:tcW w:w="1122"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val="0"/>
                <w:bCs w:val="0"/>
                <w:sz w:val="18"/>
                <w:szCs w:val="18"/>
              </w:rPr>
              <w:t>+15.7%</w:t>
            </w:r>
          </w:p>
        </w:tc>
        <w:tc>
          <w:tcPr>
            <w:tcW w:w="1309"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val="0"/>
                <w:bCs w:val="0"/>
                <w:sz w:val="18"/>
                <w:szCs w:val="18"/>
              </w:rPr>
              <w:t>8,476억</w:t>
            </w:r>
          </w:p>
        </w:tc>
        <w:tc>
          <w:tcPr>
            <w:tcW w:w="1309"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val="0"/>
                <w:bCs w:val="0"/>
                <w:sz w:val="18"/>
                <w:szCs w:val="18"/>
              </w:rPr>
              <w:t>11,054억</w:t>
            </w:r>
          </w:p>
        </w:tc>
        <w:tc>
          <w:tcPr>
            <w:tcW w:w="1682"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val="0"/>
                <w:bCs w:val="0"/>
                <w:sz w:val="18"/>
                <w:szCs w:val="18"/>
              </w:rPr>
              <w:t>44.79%</w:t>
            </w:r>
          </w:p>
        </w:tc>
      </w:tr>
      <w:tr>
        <w:trPr/>
        <w:tc>
          <w:tcPr>
            <w:tcW w:w="748"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val="0"/>
                <w:bCs w:val="0"/>
                <w:sz w:val="18"/>
                <w:szCs w:val="18"/>
              </w:rPr>
              <w:t>2022</w:t>
            </w:r>
          </w:p>
        </w:tc>
        <w:tc>
          <w:tcPr>
            <w:tcW w:w="1309"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val="0"/>
                <w:bCs w:val="0"/>
                <w:sz w:val="18"/>
                <w:szCs w:val="18"/>
              </w:rPr>
              <w:t>75,724억</w:t>
            </w:r>
          </w:p>
        </w:tc>
        <w:tc>
          <w:tcPr>
            <w:tcW w:w="1309"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val="0"/>
                <w:bCs w:val="0"/>
                <w:sz w:val="18"/>
                <w:szCs w:val="18"/>
              </w:rPr>
              <w:t>69,306억</w:t>
            </w:r>
          </w:p>
        </w:tc>
        <w:tc>
          <w:tcPr>
            <w:tcW w:w="1122"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val="0"/>
                <w:bCs w:val="0"/>
                <w:sz w:val="18"/>
                <w:szCs w:val="18"/>
              </w:rPr>
              <w:t>+3.2%</w:t>
            </w:r>
          </w:p>
        </w:tc>
        <w:tc>
          <w:tcPr>
            <w:tcW w:w="1309"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val="0"/>
                <w:bCs w:val="0"/>
                <w:sz w:val="18"/>
                <w:szCs w:val="18"/>
              </w:rPr>
              <w:t>10,043억</w:t>
            </w:r>
          </w:p>
        </w:tc>
        <w:tc>
          <w:tcPr>
            <w:tcW w:w="1309"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val="0"/>
                <w:bCs w:val="0"/>
                <w:sz w:val="18"/>
                <w:szCs w:val="18"/>
              </w:rPr>
              <w:t>12,704억</w:t>
            </w:r>
          </w:p>
        </w:tc>
        <w:tc>
          <w:tcPr>
            <w:tcW w:w="1682"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val="0"/>
                <w:bCs w:val="0"/>
                <w:sz w:val="18"/>
                <w:szCs w:val="18"/>
              </w:rPr>
              <w:t>42.26%</w:t>
            </w:r>
          </w:p>
        </w:tc>
      </w:tr>
      <w:tr>
        <w:trPr/>
        <w:tc>
          <w:tcPr>
            <w:tcW w:w="748"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val="0"/>
                <w:bCs w:val="0"/>
                <w:sz w:val="18"/>
                <w:szCs w:val="18"/>
              </w:rPr>
              <w:t>2023</w:t>
            </w:r>
          </w:p>
        </w:tc>
        <w:tc>
          <w:tcPr>
            <w:tcW w:w="1309"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val="0"/>
                <w:bCs w:val="0"/>
                <w:sz w:val="18"/>
                <w:szCs w:val="18"/>
              </w:rPr>
              <w:t>71,561억</w:t>
            </w:r>
          </w:p>
        </w:tc>
        <w:tc>
          <w:tcPr>
            <w:tcW w:w="1309"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val="0"/>
                <w:bCs w:val="0"/>
                <w:sz w:val="18"/>
                <w:szCs w:val="18"/>
              </w:rPr>
              <w:t>65,123억</w:t>
            </w:r>
          </w:p>
        </w:tc>
        <w:tc>
          <w:tcPr>
            <w:tcW w:w="1122"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val="0"/>
                <w:bCs w:val="0"/>
                <w:sz w:val="18"/>
                <w:szCs w:val="18"/>
              </w:rPr>
              <w:t>△6.0%</w:t>
            </w:r>
          </w:p>
        </w:tc>
        <w:tc>
          <w:tcPr>
            <w:tcW w:w="1309"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val="0"/>
                <w:bCs w:val="0"/>
                <w:sz w:val="18"/>
                <w:szCs w:val="18"/>
              </w:rPr>
              <w:t>12,083억</w:t>
            </w:r>
          </w:p>
        </w:tc>
        <w:tc>
          <w:tcPr>
            <w:tcW w:w="1309"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val="0"/>
                <w:bCs w:val="0"/>
                <w:sz w:val="18"/>
                <w:szCs w:val="18"/>
              </w:rPr>
              <w:t>14,805억</w:t>
            </w:r>
          </w:p>
        </w:tc>
        <w:tc>
          <w:tcPr>
            <w:tcW w:w="1682"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val="0"/>
                <w:bCs w:val="0"/>
                <w:sz w:val="18"/>
                <w:szCs w:val="18"/>
              </w:rPr>
              <w:t>43.85%</w:t>
            </w:r>
          </w:p>
        </w:tc>
      </w:tr>
      <w:tr>
        <w:trPr/>
        <w:tc>
          <w:tcPr>
            <w:tcW w:w="748"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val="0"/>
                <w:bCs w:val="0"/>
                <w:sz w:val="18"/>
                <w:szCs w:val="18"/>
              </w:rPr>
              <w:t>2024</w:t>
            </w:r>
          </w:p>
        </w:tc>
        <w:tc>
          <w:tcPr>
            <w:tcW w:w="1309"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val="0"/>
                <w:bCs w:val="0"/>
                <w:sz w:val="18"/>
                <w:szCs w:val="18"/>
              </w:rPr>
              <w:t>74,651억</w:t>
            </w:r>
          </w:p>
        </w:tc>
        <w:tc>
          <w:tcPr>
            <w:tcW w:w="1309"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val="0"/>
                <w:bCs w:val="0"/>
                <w:sz w:val="18"/>
                <w:szCs w:val="18"/>
              </w:rPr>
              <w:t>69,211억</w:t>
            </w:r>
          </w:p>
        </w:tc>
        <w:tc>
          <w:tcPr>
            <w:tcW w:w="1122"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val="0"/>
                <w:bCs w:val="0"/>
                <w:sz w:val="18"/>
                <w:szCs w:val="18"/>
              </w:rPr>
              <w:t>+6.3%</w:t>
            </w:r>
          </w:p>
        </w:tc>
        <w:tc>
          <w:tcPr>
            <w:tcW w:w="1309"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val="0"/>
                <w:bCs w:val="0"/>
                <w:sz w:val="18"/>
                <w:szCs w:val="18"/>
              </w:rPr>
              <w:t>13,974억</w:t>
            </w:r>
          </w:p>
        </w:tc>
        <w:tc>
          <w:tcPr>
            <w:tcW w:w="1309"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val="0"/>
                <w:bCs w:val="0"/>
                <w:sz w:val="18"/>
                <w:szCs w:val="18"/>
              </w:rPr>
              <w:t>16,484억</w:t>
            </w:r>
          </w:p>
        </w:tc>
        <w:tc>
          <w:tcPr>
            <w:tcW w:w="1682"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val="0"/>
                <w:bCs w:val="0"/>
                <w:sz w:val="18"/>
                <w:szCs w:val="18"/>
              </w:rPr>
              <w:t>41.72%</w:t>
            </w:r>
          </w:p>
        </w:tc>
      </w:tr>
      <w:tr>
        <w:trPr/>
        <w:tc>
          <w:tcPr>
            <w:tcW w:w="748"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val="0"/>
                <w:bCs w:val="0"/>
                <w:sz w:val="18"/>
                <w:szCs w:val="18"/>
              </w:rPr>
              <w:t>2025</w:t>
            </w:r>
          </w:p>
        </w:tc>
        <w:tc>
          <w:tcPr>
            <w:tcW w:w="1309"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val="0"/>
                <w:bCs w:val="0"/>
                <w:sz w:val="18"/>
                <w:szCs w:val="18"/>
              </w:rPr>
              <w:t>82,707억</w:t>
            </w:r>
          </w:p>
        </w:tc>
        <w:tc>
          <w:tcPr>
            <w:tcW w:w="1309"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val="0"/>
                <w:bCs w:val="0"/>
                <w:sz w:val="18"/>
                <w:szCs w:val="18"/>
              </w:rPr>
              <w:t>77,132억</w:t>
            </w:r>
          </w:p>
        </w:tc>
        <w:tc>
          <w:tcPr>
            <w:tcW w:w="1122"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val="0"/>
                <w:bCs w:val="0"/>
                <w:sz w:val="18"/>
                <w:szCs w:val="18"/>
              </w:rPr>
              <w:t>+11.4%</w:t>
            </w:r>
          </w:p>
        </w:tc>
        <w:tc>
          <w:tcPr>
            <w:tcW w:w="1309"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bCs/>
                <w:sz w:val="18"/>
                <w:szCs w:val="18"/>
              </w:rPr>
              <w:t>15,864억</w:t>
            </w:r>
          </w:p>
        </w:tc>
        <w:tc>
          <w:tcPr>
            <w:tcW w:w="1309"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val="0"/>
                <w:bCs w:val="0"/>
                <w:sz w:val="18"/>
                <w:szCs w:val="18"/>
              </w:rPr>
              <w:t>17,856억</w:t>
            </w:r>
          </w:p>
        </w:tc>
        <w:tc>
          <w:tcPr>
            <w:tcW w:w="1682"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val="0"/>
                <w:bCs w:val="0"/>
                <w:sz w:val="18"/>
                <w:szCs w:val="18"/>
              </w:rPr>
              <w:t>약 39%[추정]</w:t>
            </w:r>
          </w:p>
        </w:tc>
      </w:tr>
    </w:tbl>
    <w:p>
      <w:pPr>
        <w:spacing w:after="0"/>
      </w:pPr>
    </w:p>
    <w:p>
      <w:pPr>
        <w:jc w:val="left"/>
        <w:spacing w:after="120" w:before="0" w:line="384" w:lineRule="auto"/>
      </w:pPr>
      <w:r>
        <w:rPr>
          <w:rFonts w:ascii="Arial" w:eastAsia="맑은 고딕" w:hAnsi="Arial"/>
          <w:b w:val="0"/>
          <w:bCs w:val="0"/>
          <w:sz w:val="16"/>
          <w:szCs w:val="16"/>
        </w:rPr>
        <w:t>출처: 2016~2024년은 지방재정365 결산 지표, 2025년은 2025회계연도 결산서(채무는 채무관리보고서 인쇄 949·951쪽). 채무 잔액은 회계별 잔액의 합계. 재정자립도는 구산식 공시값이며, 표 3의 신산식 값과는 산식이 다르다. 2025년은 미공시여서 추정치이며(구산식 약 39%·신산식 약 34%), 두 산식 모두 2024년보다 낮아지는 방향이다 — 분모에 국고보조금이 포함된 예산 총액이 들어가는데 2025년 세입 증가의 98.3%가 국고보조금이었던 반면 일반회계 자체수입은 1.76% 늘어나는 데 그쳤기 때문이다.</w:t>
      </w:r>
    </w:p>
    <w:p>
      <w:pPr>
        <w:ind w:firstLine="200"/>
        <w:jc w:val="both"/>
        <w:spacing w:after="60" w:before="0" w:line="384" w:lineRule="auto"/>
      </w:pPr>
      <w:r>
        <w:rPr>
          <w:rFonts w:ascii="Arial" w:eastAsia="맑은 고딕" w:hAnsi="Arial"/>
          <w:b w:val="0"/>
          <w:bCs w:val="0"/>
          <w:sz w:val="20"/>
          <w:szCs w:val="20"/>
        </w:rPr>
        <w:t xml:space="preserve">세출은 10년 사이 3조 7,909억 원에서 7조 7,132억 원으로 2.03배가 됐다. 그런데 채무 잔액은 2019년 5,960억 원까지 줄었다가 2025년 1조 5,864억 원으로 6년 만에 </w:t>
      </w:r>
      <w:r>
        <w:rPr>
          <w:rFonts w:ascii="Arial" w:eastAsia="맑은 고딕" w:hAnsi="Arial"/>
          <w:b/>
          <w:bCs/>
          <w:sz w:val="20"/>
          <w:szCs w:val="20"/>
        </w:rPr>
        <w:t>2.66배</w:t>
      </w:r>
      <w:r>
        <w:rPr>
          <w:rFonts w:ascii="Arial" w:eastAsia="맑은 고딕" w:hAnsi="Arial"/>
          <w:b w:val="0"/>
          <w:bCs w:val="0"/>
          <w:sz w:val="20"/>
          <w:szCs w:val="20"/>
        </w:rPr>
        <w:t>가 됐다. 같은 기간 세출이 1.53배 늘어난 것과 비교하면, 빚이 살림보다 빠르게 늘고 있다.</w:t>
      </w:r>
    </w:p>
    <w:p>
      <w:pPr>
        <w:ind w:firstLine="200"/>
        <w:jc w:val="both"/>
        <w:spacing w:after="60" w:before="0" w:line="384" w:lineRule="auto"/>
      </w:pPr>
      <w:r>
        <w:rPr>
          <w:rFonts w:ascii="Arial" w:eastAsia="맑은 고딕" w:hAnsi="Arial"/>
          <w:b w:val="0"/>
          <w:bCs w:val="0"/>
          <w:sz w:val="20"/>
          <w:szCs w:val="20"/>
        </w:rPr>
        <w:t>주목할 해는 2023년이다. 10년 중 유일하게 세출이 줄어든 해(△6.0%)인데, 그 해에 채무 잔액은 오히려 1조 43억 원에서 1조 2,083억 원으로 2,040억 원 늘었다. 부동산 경기 침체로 취득세가 줄자 부족분을 빚으로 메운 것이다.</w:t>
      </w:r>
    </w:p>
    <w:p>
      <w:pPr>
        <w:jc w:val="left"/>
        <w:spacing w:after="100" w:before="240" w:line="384" w:lineRule="auto"/>
      </w:pPr>
      <w:r>
        <w:rPr>
          <w:rFonts w:ascii="Arial" w:eastAsia="맑은 고딕" w:hAnsi="Arial"/>
          <w:b/>
          <w:bCs/>
          <w:sz w:val="22"/>
          <w:szCs w:val="22"/>
        </w:rPr>
        <w:t>2. 지출 구조의 변화</w:t>
      </w:r>
    </w:p>
    <w:p>
      <w:pPr>
        <w:ind w:firstLine="200"/>
        <w:jc w:val="both"/>
        <w:spacing w:after="60" w:before="0" w:line="384" w:lineRule="auto"/>
      </w:pPr>
      <w:r>
        <w:rPr>
          <w:rFonts w:ascii="Arial" w:eastAsia="맑은 고딕" w:hAnsi="Arial"/>
          <w:b w:val="0"/>
          <w:bCs w:val="0"/>
          <w:sz w:val="20"/>
          <w:szCs w:val="20"/>
        </w:rPr>
        <w:t xml:space="preserve">지출 구조를 보면 사회복지 비중이 2016년 36.48%에서 2024년 46.0%로 9.5%p 높아졌다. 사회복지 지출은 대부분 국비 매칭 사업이어서 시가 재량으로 조정하기 어렵다. 보조사업 비중도 44.7%에서 46.3%로 늘었다. </w:t>
      </w:r>
      <w:r>
        <w:rPr>
          <w:rFonts w:ascii="Arial" w:eastAsia="맑은 고딕" w:hAnsi="Arial"/>
          <w:b/>
          <w:bCs/>
          <w:sz w:val="20"/>
          <w:szCs w:val="20"/>
        </w:rPr>
        <w:t>재정 규모는 커졌지만 시가 스스로 결정할 수 있는 예산의 여지는 오히려 좁아진 것이다.</w:t>
      </w:r>
    </w:p>
    <w:p>
      <w:pPr>
        <w:ind w:firstLine="200"/>
        <w:jc w:val="both"/>
        <w:spacing w:after="60" w:before="0" w:line="384" w:lineRule="auto"/>
      </w:pPr>
      <w:r>
        <w:rPr>
          <w:rFonts w:ascii="Arial" w:eastAsia="맑은 고딕" w:hAnsi="Arial"/>
          <w:b w:val="0"/>
          <w:bCs w:val="0"/>
          <w:sz w:val="20"/>
          <w:szCs w:val="20"/>
        </w:rPr>
        <w:t>발생주의 기준으로 본 2025년 재정운영결과는 △2,339억 원으로, 전년 △1,454억 원보다 적자 폭이 커졌다. 재무제표상 부채는 1조 7,856억 원이다.</w:t>
      </w:r>
    </w:p>
    <w:p>
      <w:pPr>
        <w:jc w:val="left"/>
        <w:spacing w:after="100" w:before="240" w:line="384" w:lineRule="auto"/>
      </w:pPr>
      <w:r>
        <w:rPr>
          <w:rFonts w:ascii="Arial" w:eastAsia="맑은 고딕" w:hAnsi="Arial"/>
          <w:b/>
          <w:bCs/>
          <w:sz w:val="22"/>
          <w:szCs w:val="22"/>
        </w:rPr>
        <w:t>3. 공사 부채의 단절적 증가</w:t>
      </w:r>
    </w:p>
    <w:p>
      <w:pPr>
        <w:jc w:val="center"/>
        <w:spacing w:after="60" w:before="160" w:line="384" w:lineRule="auto"/>
      </w:pPr>
      <w:r>
        <w:rPr>
          <w:rFonts w:ascii="Arial" w:eastAsia="맑은 고딕" w:hAnsi="Arial"/>
          <w:b/>
          <w:bCs/>
          <w:sz w:val="20"/>
          <w:szCs w:val="20"/>
        </w:rPr>
        <w:t>&lt;표 16&gt; 대전 지역통합부채 추이 (자치구 포함)</w:t>
      </w:r>
    </w:p>
    <w:tbl>
      <w:tblPr>
        <w:tblW w:w="87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4"/>
        <w:gridCol w:w="2260"/>
        <w:gridCol w:w="2260"/>
        <w:gridCol w:w="1507"/>
        <w:gridCol w:w="1757"/>
      </w:tblGrid>
      <w:tr>
        <w:trPr>
          <w:tblHeader/>
        </w:trPr>
        <w:tc>
          <w:tcPr>
            <w:tcW w:w="1004"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center"/>
              <w:spacing w:after="0" w:line="264" w:lineRule="auto"/>
            </w:pPr>
            <w:r>
              <w:rPr>
                <w:rFonts w:ascii="Arial" w:eastAsia="맑은 고딕" w:hAnsi="Arial"/>
                <w:b/>
                <w:bCs/>
                <w:sz w:val="18"/>
                <w:szCs w:val="18"/>
              </w:rPr>
              <w:t>연도</w:t>
            </w:r>
          </w:p>
        </w:tc>
        <w:tc>
          <w:tcPr>
            <w:tcW w:w="226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center"/>
              <w:spacing w:after="0" w:line="264" w:lineRule="auto"/>
            </w:pPr>
            <w:r>
              <w:rPr>
                <w:rFonts w:ascii="Arial" w:eastAsia="맑은 고딕" w:hAnsi="Arial"/>
                <w:b/>
                <w:bCs/>
                <w:sz w:val="18"/>
                <w:szCs w:val="18"/>
              </w:rPr>
              <w:t>통합부채 계</w:t>
            </w:r>
          </w:p>
        </w:tc>
        <w:tc>
          <w:tcPr>
            <w:tcW w:w="226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center"/>
              <w:spacing w:after="0" w:line="264" w:lineRule="auto"/>
            </w:pPr>
            <w:r>
              <w:rPr>
                <w:rFonts w:ascii="Arial" w:eastAsia="맑은 고딕" w:hAnsi="Arial"/>
                <w:b/>
                <w:bCs/>
                <w:sz w:val="18"/>
                <w:szCs w:val="18"/>
              </w:rPr>
              <w:t>자치단체</w:t>
            </w:r>
          </w:p>
        </w:tc>
        <w:tc>
          <w:tcPr>
            <w:tcW w:w="1507"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center"/>
              <w:spacing w:after="0" w:line="264" w:lineRule="auto"/>
            </w:pPr>
            <w:r>
              <w:rPr>
                <w:rFonts w:ascii="Arial" w:eastAsia="맑은 고딕" w:hAnsi="Arial"/>
                <w:b/>
                <w:bCs/>
                <w:sz w:val="18"/>
                <w:szCs w:val="18"/>
              </w:rPr>
              <w:t>공사·공단</w:t>
            </w:r>
          </w:p>
        </w:tc>
        <w:tc>
          <w:tcPr>
            <w:tcW w:w="1757"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center"/>
              <w:spacing w:after="0" w:line="264" w:lineRule="auto"/>
            </w:pPr>
            <w:r>
              <w:rPr>
                <w:rFonts w:ascii="Arial" w:eastAsia="맑은 고딕" w:hAnsi="Arial"/>
                <w:b/>
                <w:bCs/>
                <w:sz w:val="18"/>
                <w:szCs w:val="18"/>
              </w:rPr>
              <w:t>출자·출연기관</w:t>
            </w:r>
          </w:p>
        </w:tc>
      </w:tr>
      <w:tr>
        <w:trPr/>
        <w:tc>
          <w:tcPr>
            <w:tcW w:w="1004"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val="0"/>
                <w:bCs w:val="0"/>
                <w:sz w:val="18"/>
                <w:szCs w:val="18"/>
              </w:rPr>
              <w:t>2016</w:t>
            </w:r>
          </w:p>
        </w:tc>
        <w:tc>
          <w:tcPr>
            <w:tcW w:w="226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val="0"/>
                <w:bCs w:val="0"/>
                <w:sz w:val="18"/>
                <w:szCs w:val="18"/>
              </w:rPr>
              <w:t>2조 1,479억</w:t>
            </w:r>
          </w:p>
        </w:tc>
        <w:tc>
          <w:tcPr>
            <w:tcW w:w="226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val="0"/>
                <w:bCs w:val="0"/>
                <w:sz w:val="18"/>
                <w:szCs w:val="18"/>
              </w:rPr>
              <w:t>1조 1,779억</w:t>
            </w:r>
          </w:p>
        </w:tc>
        <w:tc>
          <w:tcPr>
            <w:tcW w:w="1507"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val="0"/>
                <w:bCs w:val="0"/>
                <w:sz w:val="18"/>
                <w:szCs w:val="18"/>
              </w:rPr>
              <w:t>5,613억</w:t>
            </w:r>
          </w:p>
        </w:tc>
        <w:tc>
          <w:tcPr>
            <w:tcW w:w="1757"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val="0"/>
                <w:bCs w:val="0"/>
                <w:sz w:val="18"/>
                <w:szCs w:val="18"/>
              </w:rPr>
              <w:t>4,086억</w:t>
            </w:r>
          </w:p>
        </w:tc>
      </w:tr>
      <w:tr>
        <w:trPr/>
        <w:tc>
          <w:tcPr>
            <w:tcW w:w="1004"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val="0"/>
                <w:bCs w:val="0"/>
                <w:sz w:val="18"/>
                <w:szCs w:val="18"/>
              </w:rPr>
              <w:t>2019</w:t>
            </w:r>
          </w:p>
        </w:tc>
        <w:tc>
          <w:tcPr>
            <w:tcW w:w="226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val="0"/>
                <w:bCs w:val="0"/>
                <w:sz w:val="18"/>
                <w:szCs w:val="18"/>
              </w:rPr>
              <w:t>1조 8,487억</w:t>
            </w:r>
          </w:p>
        </w:tc>
        <w:tc>
          <w:tcPr>
            <w:tcW w:w="226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val="0"/>
                <w:bCs w:val="0"/>
                <w:sz w:val="18"/>
                <w:szCs w:val="18"/>
              </w:rPr>
              <w:t>1조 638억</w:t>
            </w:r>
          </w:p>
        </w:tc>
        <w:tc>
          <w:tcPr>
            <w:tcW w:w="1507"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val="0"/>
                <w:bCs w:val="0"/>
                <w:sz w:val="18"/>
                <w:szCs w:val="18"/>
              </w:rPr>
              <w:t>6,453억</w:t>
            </w:r>
          </w:p>
        </w:tc>
        <w:tc>
          <w:tcPr>
            <w:tcW w:w="1757"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val="0"/>
                <w:bCs w:val="0"/>
                <w:sz w:val="18"/>
                <w:szCs w:val="18"/>
              </w:rPr>
              <w:t>1,396억</w:t>
            </w:r>
          </w:p>
        </w:tc>
      </w:tr>
      <w:tr>
        <w:trPr/>
        <w:tc>
          <w:tcPr>
            <w:tcW w:w="1004"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val="0"/>
                <w:bCs w:val="0"/>
                <w:sz w:val="18"/>
                <w:szCs w:val="18"/>
              </w:rPr>
              <w:t>2022</w:t>
            </w:r>
          </w:p>
        </w:tc>
        <w:tc>
          <w:tcPr>
            <w:tcW w:w="226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val="0"/>
                <w:bCs w:val="0"/>
                <w:sz w:val="18"/>
                <w:szCs w:val="18"/>
              </w:rPr>
              <w:t>2조 3,548억</w:t>
            </w:r>
          </w:p>
        </w:tc>
        <w:tc>
          <w:tcPr>
            <w:tcW w:w="226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val="0"/>
                <w:bCs w:val="0"/>
                <w:sz w:val="18"/>
                <w:szCs w:val="18"/>
              </w:rPr>
              <w:t>1조 4,775억</w:t>
            </w:r>
          </w:p>
        </w:tc>
        <w:tc>
          <w:tcPr>
            <w:tcW w:w="1507"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val="0"/>
                <w:bCs w:val="0"/>
                <w:sz w:val="18"/>
                <w:szCs w:val="18"/>
              </w:rPr>
              <w:t>7,885억</w:t>
            </w:r>
          </w:p>
        </w:tc>
        <w:tc>
          <w:tcPr>
            <w:tcW w:w="1757"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val="0"/>
                <w:bCs w:val="0"/>
                <w:sz w:val="18"/>
                <w:szCs w:val="18"/>
              </w:rPr>
              <w:t>888억</w:t>
            </w:r>
          </w:p>
        </w:tc>
      </w:tr>
      <w:tr>
        <w:trPr/>
        <w:tc>
          <w:tcPr>
            <w:tcW w:w="1004"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val="0"/>
                <w:bCs w:val="0"/>
                <w:sz w:val="18"/>
                <w:szCs w:val="18"/>
              </w:rPr>
              <w:t>2024</w:t>
            </w:r>
          </w:p>
        </w:tc>
        <w:tc>
          <w:tcPr>
            <w:tcW w:w="226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val="0"/>
                <w:bCs w:val="0"/>
                <w:sz w:val="18"/>
                <w:szCs w:val="18"/>
              </w:rPr>
              <w:t>2조 6,214억</w:t>
            </w:r>
          </w:p>
        </w:tc>
        <w:tc>
          <w:tcPr>
            <w:tcW w:w="226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val="0"/>
                <w:bCs w:val="0"/>
                <w:sz w:val="18"/>
                <w:szCs w:val="18"/>
              </w:rPr>
              <w:t>1조 8,039억</w:t>
            </w:r>
          </w:p>
        </w:tc>
        <w:tc>
          <w:tcPr>
            <w:tcW w:w="1507"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val="0"/>
                <w:bCs w:val="0"/>
                <w:sz w:val="18"/>
                <w:szCs w:val="18"/>
              </w:rPr>
              <w:t>7,194억</w:t>
            </w:r>
          </w:p>
        </w:tc>
        <w:tc>
          <w:tcPr>
            <w:tcW w:w="1757"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val="0"/>
                <w:bCs w:val="0"/>
                <w:sz w:val="18"/>
                <w:szCs w:val="18"/>
              </w:rPr>
              <w:t>988억</w:t>
            </w:r>
          </w:p>
        </w:tc>
      </w:tr>
    </w:tbl>
    <w:p>
      <w:pPr>
        <w:spacing w:after="0"/>
      </w:pPr>
    </w:p>
    <w:p>
      <w:pPr>
        <w:jc w:val="left"/>
        <w:spacing w:after="120" w:before="0" w:line="384" w:lineRule="auto"/>
      </w:pPr>
      <w:r>
        <w:rPr>
          <w:rFonts w:ascii="Arial" w:eastAsia="맑은 고딕" w:hAnsi="Arial"/>
          <w:b w:val="0"/>
          <w:bCs w:val="0"/>
          <w:sz w:val="16"/>
          <w:szCs w:val="16"/>
        </w:rPr>
        <w:t>출처: 지방재정365 지역통합부채현황(대전계). 자치구 5곳이 포함된 수치로, 본청 기준인 2025년 결산서 값과는 집계 범위가 다르다.</w:t>
      </w:r>
    </w:p>
    <w:p>
      <w:pPr>
        <w:ind w:firstLine="200"/>
        <w:jc w:val="both"/>
        <w:spacing w:after="60" w:before="0" w:line="384" w:lineRule="auto"/>
      </w:pPr>
      <w:r>
        <w:rPr>
          <w:rFonts w:ascii="Arial" w:eastAsia="맑은 고딕" w:hAnsi="Arial"/>
          <w:b w:val="0"/>
          <w:bCs w:val="0"/>
          <w:sz w:val="20"/>
          <w:szCs w:val="20"/>
        </w:rPr>
        <w:t xml:space="preserve">공사·공단 부채는 2016년 5,613억 원에서 2024년 7,194억 원으로 8년 동안 1,581억 원(28%) 느는 데 그쳤다. 완만한 증가였다. 그런데 결산서 기준(본청 통합)으로 보면 지방공공기관 부채는 2024년 7,182억 원에서 2025년 1조 413억 원으로 한 해에 3,231억 원(45.0%) 늘었다. </w:t>
      </w:r>
      <w:r>
        <w:rPr>
          <w:rFonts w:ascii="Arial" w:eastAsia="맑은 고딕" w:hAnsi="Arial"/>
          <w:b/>
          <w:bCs/>
          <w:sz w:val="20"/>
          <w:szCs w:val="20"/>
        </w:rPr>
        <w:t>지난 8년간 늘어난 금액의 두 배가 넘는 액수가 2025년 한 해에 증가한 것이다.</w:t>
      </w:r>
    </w:p>
    <w:p>
      <w:r>
        <w:br w:type="page"/>
      </w:r>
    </w:p>
    <w:p>
      <w:pPr>
        <w:jc w:val="left"/>
        <w:spacing w:after="140" w:before="320" w:line="384" w:lineRule="auto"/>
      </w:pPr>
      <w:r>
        <w:rPr>
          <w:rFonts w:ascii="Arial" w:eastAsia="맑은 고딕" w:hAnsi="Arial"/>
          <w:b/>
          <w:bCs/>
          <w:sz w:val="26"/>
          <w:szCs w:val="26"/>
        </w:rPr>
        <w:t>Ⅶ. 종합 진단</w:t>
      </w:r>
    </w:p>
    <w:p>
      <w:pPr>
        <w:ind w:firstLine="200"/>
        <w:jc w:val="both"/>
        <w:spacing w:after="60" w:before="0" w:line="384" w:lineRule="auto"/>
      </w:pPr>
      <w:r>
        <w:rPr>
          <w:rFonts w:ascii="Arial" w:eastAsia="맑은 고딕" w:hAnsi="Arial"/>
          <w:b w:val="0"/>
          <w:bCs w:val="0"/>
          <w:sz w:val="20"/>
          <w:szCs w:val="20"/>
        </w:rPr>
        <w:t>이번 분석에서 확인한 사실은 서로 분리된 문제가 아니라 하나의 그림을 이룬다.</w:t>
      </w:r>
    </w:p>
    <w:p>
      <w:pPr>
        <w:ind w:left="300" w:hanging="200"/>
        <w:jc w:val="both"/>
        <w:spacing w:after="60" w:before="0" w:line="384" w:lineRule="auto"/>
      </w:pPr>
      <w:r>
        <w:rPr>
          <w:rFonts w:ascii="Arial" w:eastAsia="맑은 고딕" w:hAnsi="Arial"/>
          <w:b w:val="0"/>
          <w:bCs w:val="0"/>
          <w:sz w:val="20"/>
          <w:szCs w:val="20"/>
        </w:rPr>
        <w:t xml:space="preserve">● </w:t>
      </w:r>
      <w:r>
        <w:rPr>
          <w:rFonts w:ascii="Arial" w:eastAsia="맑은 고딕" w:hAnsi="Arial"/>
          <w:b/>
          <w:bCs/>
          <w:sz w:val="20"/>
          <w:szCs w:val="20"/>
        </w:rPr>
        <w:t>첫째, 세입은 늘었지만 스스로 버는 돈은 제자리다.</w:t>
      </w:r>
      <w:r>
        <w:rPr>
          <w:rFonts w:ascii="Arial" w:eastAsia="맑은 고딕" w:hAnsi="Arial"/>
          <w:b w:val="0"/>
          <w:bCs w:val="0"/>
          <w:sz w:val="20"/>
          <w:szCs w:val="20"/>
        </w:rPr>
        <w:t xml:space="preserve"> 2025년 세입 증가 8,056억 원의 98%가 국고보조금이었다. 자체수입은 5년간 7.0% 늘어 세출 증가(14.8%)의 절반에 못 미쳤고, 비율은 36.34%에서 34.39%로 떨어졌다.</w:t>
      </w:r>
    </w:p>
    <w:p>
      <w:pPr>
        <w:ind w:left="300" w:hanging="200"/>
        <w:jc w:val="both"/>
        <w:spacing w:after="60" w:before="0" w:line="384" w:lineRule="auto"/>
      </w:pPr>
      <w:r>
        <w:rPr>
          <w:rFonts w:ascii="Arial" w:eastAsia="맑은 고딕" w:hAnsi="Arial"/>
          <w:b w:val="0"/>
          <w:bCs w:val="0"/>
          <w:sz w:val="20"/>
          <w:szCs w:val="20"/>
        </w:rPr>
        <w:t xml:space="preserve">● </w:t>
      </w:r>
      <w:r>
        <w:rPr>
          <w:rFonts w:ascii="Arial" w:eastAsia="맑은 고딕" w:hAnsi="Arial"/>
          <w:b/>
          <w:bCs/>
          <w:sz w:val="20"/>
          <w:szCs w:val="20"/>
        </w:rPr>
        <w:t>둘째, 빚은 살림보다 빠르게 늘었다.</w:t>
      </w:r>
      <w:r>
        <w:rPr>
          <w:rFonts w:ascii="Arial" w:eastAsia="맑은 고딕" w:hAnsi="Arial"/>
          <w:b w:val="0"/>
          <w:bCs w:val="0"/>
          <w:sz w:val="20"/>
          <w:szCs w:val="20"/>
        </w:rPr>
        <w:t xml:space="preserve"> 채무는 6년에 2.66배, 3년에 58% 늘었다. 예산대비 채무비율은 2019년 8.83%에서 2024년 17.50%로 두 배가 됐다.</w:t>
      </w:r>
    </w:p>
    <w:p>
      <w:pPr>
        <w:ind w:left="300" w:hanging="200"/>
        <w:jc w:val="both"/>
        <w:spacing w:after="60" w:before="0" w:line="384" w:lineRule="auto"/>
      </w:pPr>
      <w:r>
        <w:rPr>
          <w:rFonts w:ascii="Arial" w:eastAsia="맑은 고딕" w:hAnsi="Arial"/>
          <w:b w:val="0"/>
          <w:bCs w:val="0"/>
          <w:sz w:val="20"/>
          <w:szCs w:val="20"/>
        </w:rPr>
        <w:t xml:space="preserve">● </w:t>
      </w:r>
      <w:r>
        <w:rPr>
          <w:rFonts w:ascii="Arial" w:eastAsia="맑은 고딕" w:hAnsi="Arial"/>
          <w:b/>
          <w:bCs/>
          <w:sz w:val="20"/>
          <w:szCs w:val="20"/>
        </w:rPr>
        <w:t>셋째, 그러나 법정 기준으로는 위험 구간이 아니다.</w:t>
      </w:r>
      <w:r>
        <w:rPr>
          <w:rFonts w:ascii="Arial" w:eastAsia="맑은 고딕" w:hAnsi="Arial"/>
          <w:b w:val="0"/>
          <w:bCs w:val="0"/>
          <w:sz w:val="20"/>
          <w:szCs w:val="20"/>
        </w:rPr>
        <w:t xml:space="preserve"> 재정위기·재정주의단체 지정 기준 어느 항목에도 해당하지 않는다. 통합재정수지비율은 기준의 5분의 1 수준이고, 예산대비 채무비율도 주의 기준까지 6.5%p 남았다.</w:t>
      </w:r>
    </w:p>
    <w:p>
      <w:pPr>
        <w:ind w:left="300" w:hanging="200"/>
        <w:jc w:val="both"/>
        <w:spacing w:after="60" w:before="0" w:line="384" w:lineRule="auto"/>
      </w:pPr>
      <w:r>
        <w:rPr>
          <w:rFonts w:ascii="Arial" w:eastAsia="맑은 고딕" w:hAnsi="Arial"/>
          <w:b w:val="0"/>
          <w:bCs w:val="0"/>
          <w:sz w:val="20"/>
          <w:szCs w:val="20"/>
        </w:rPr>
        <w:t xml:space="preserve">● </w:t>
      </w:r>
      <w:r>
        <w:rPr>
          <w:rFonts w:ascii="Arial" w:eastAsia="맑은 고딕" w:hAnsi="Arial"/>
          <w:b/>
          <w:bCs/>
          <w:sz w:val="20"/>
          <w:szCs w:val="20"/>
        </w:rPr>
        <w:t>넷째, 대형 사업의 이월이 급증했다.</w:t>
      </w:r>
      <w:r>
        <w:rPr>
          <w:rFonts w:ascii="Arial" w:eastAsia="맑은 고딕" w:hAnsi="Arial"/>
          <w:b w:val="0"/>
          <w:bCs w:val="0"/>
          <w:sz w:val="20"/>
          <w:szCs w:val="20"/>
        </w:rPr>
        <w:t xml:space="preserve"> 도시철도 2호선 이월액은 1년 사이 8.1배 늘었고, 하수도는 한 번 이월된 예산의 56%가 다시 이월됐다.</w:t>
      </w:r>
    </w:p>
    <w:p>
      <w:pPr>
        <w:ind w:left="300" w:hanging="200"/>
        <w:jc w:val="both"/>
        <w:spacing w:after="60" w:before="0" w:line="384" w:lineRule="auto"/>
      </w:pPr>
      <w:r>
        <w:rPr>
          <w:rFonts w:ascii="Arial" w:eastAsia="맑은 고딕" w:hAnsi="Arial"/>
          <w:b w:val="0"/>
          <w:bCs w:val="0"/>
          <w:sz w:val="20"/>
          <w:szCs w:val="20"/>
        </w:rPr>
        <w:t xml:space="preserve">● </w:t>
      </w:r>
      <w:r>
        <w:rPr>
          <w:rFonts w:ascii="Arial" w:eastAsia="맑은 고딕" w:hAnsi="Arial"/>
          <w:b/>
          <w:bCs/>
          <w:sz w:val="20"/>
          <w:szCs w:val="20"/>
        </w:rPr>
        <w:t>다섯째, 사업 자금을 시 본예산 밖에서 조달하고 있다.</w:t>
      </w:r>
      <w:r>
        <w:rPr>
          <w:rFonts w:ascii="Arial" w:eastAsia="맑은 고딕" w:hAnsi="Arial"/>
          <w:b w:val="0"/>
          <w:bCs w:val="0"/>
          <w:sz w:val="20"/>
          <w:szCs w:val="20"/>
        </w:rPr>
        <w:t xml:space="preserve"> 대전도시공사는 세입의 50.8%인 5,546억 원을 빌렸고, 이것이 지방공사 부채 증가의 전부다. 본청 기준 법정 지표에는 이 부담이 잡히지 않는다.</w:t>
      </w:r>
    </w:p>
    <w:p>
      <w:pPr>
        <w:ind w:firstLine="200"/>
        <w:jc w:val="both"/>
        <w:spacing w:after="60" w:before="0" w:line="384" w:lineRule="auto"/>
      </w:pPr>
      <w:r>
        <w:rPr>
          <w:rFonts w:ascii="Arial" w:eastAsia="맑은 고딕" w:hAnsi="Arial"/>
          <w:b w:val="0"/>
          <w:bCs w:val="0"/>
          <w:sz w:val="20"/>
          <w:szCs w:val="20"/>
        </w:rPr>
        <w:t xml:space="preserve">민선9기의 '재정위기' 진단은 채무 증가 속도라는 점에서는 근거가 있고, </w:t>
      </w:r>
      <w:r>
        <w:rPr>
          <w:rFonts w:ascii="Arial" w:eastAsia="맑은 고딕" w:hAnsi="Arial"/>
          <w:b/>
          <w:bCs/>
          <w:sz w:val="20"/>
          <w:szCs w:val="20"/>
        </w:rPr>
        <w:t>위기로 가고 있는 방향성은 맞으나 지금 시점에서 법적 위기 상태는 아니라고 볼 수 있다.</w:t>
      </w:r>
      <w:r>
        <w:rPr>
          <w:rFonts w:ascii="Arial" w:eastAsia="맑은 고딕" w:hAnsi="Arial"/>
          <w:b w:val="0"/>
          <w:bCs w:val="0"/>
          <w:sz w:val="20"/>
          <w:szCs w:val="20"/>
        </w:rPr>
        <w:t xml:space="preserve"> 도시철도 2호선은 개통이 2030년 하반기로 미뤄졌다는 보도가 있고, 2025년에는 예산의 32%를 집행하지 못했다. 남은 사업비는 1조 2,000억 원대다. 앞으로 몇 년간 매년 지금보다 큰 규모의 집행이 필요하다는 뜻이며, 그만큼 추가 차입 가능성도 커진다. 예산대비 채무비율이 최근 5년 평균 속도로 오르면 약 4년 뒤 주의 기준에 닿는다 [추정].</w:t>
      </w:r>
    </w:p>
    <w:p>
      <w:pPr>
        <w:ind w:firstLine="200"/>
        <w:jc w:val="both"/>
        <w:spacing w:after="60" w:before="0" w:line="384" w:lineRule="auto"/>
      </w:pPr>
      <w:r>
        <w:rPr>
          <w:rFonts w:ascii="Arial" w:eastAsia="맑은 고딕" w:hAnsi="Arial"/>
          <w:b w:val="0"/>
          <w:bCs w:val="0"/>
          <w:sz w:val="20"/>
          <w:szCs w:val="20"/>
        </w:rPr>
        <w:t xml:space="preserve">그렇다면 결산심사에서 물어야 할 것은 "돈이 없다"의 사실 여부가 아니다. </w:t>
      </w:r>
      <w:r>
        <w:rPr>
          <w:rFonts w:ascii="Arial" w:eastAsia="맑은 고딕" w:hAnsi="Arial"/>
          <w:b/>
          <w:bCs/>
          <w:sz w:val="20"/>
          <w:szCs w:val="20"/>
        </w:rPr>
        <w:t>자체수입을 늘릴 계획이 무엇인지, 빚으로 벌인 사업의 집행 계획이 현실적인지, 그리고 산하 공사의 부채까지 포함한 실제 부담이 얼마인지</w:t>
      </w:r>
      <w:r>
        <w:rPr>
          <w:rFonts w:ascii="Arial" w:eastAsia="맑은 고딕" w:hAnsi="Arial"/>
          <w:b w:val="0"/>
          <w:bCs w:val="0"/>
          <w:sz w:val="20"/>
          <w:szCs w:val="20"/>
        </w:rPr>
        <w:t>다.</w:t>
      </w:r>
    </w:p>
    <w:p>
      <w:r>
        <w:br w:type="page"/>
      </w:r>
    </w:p>
    <w:p>
      <w:pPr>
        <w:jc w:val="left"/>
        <w:spacing w:after="140" w:before="320" w:line="384" w:lineRule="auto"/>
      </w:pPr>
      <w:r>
        <w:rPr>
          <w:rFonts w:ascii="Arial" w:eastAsia="맑은 고딕" w:hAnsi="Arial"/>
          <w:b/>
          <w:bCs/>
          <w:sz w:val="26"/>
          <w:szCs w:val="26"/>
        </w:rPr>
        <w:t>Ⅷ. 확인·요구 사항</w:t>
      </w:r>
    </w:p>
    <w:p>
      <w:pPr>
        <w:ind w:firstLine="200"/>
        <w:jc w:val="both"/>
        <w:spacing w:after="60" w:before="0" w:line="384" w:lineRule="auto"/>
      </w:pPr>
      <w:r>
        <w:rPr>
          <w:rFonts w:ascii="Arial" w:eastAsia="맑은 고딕" w:hAnsi="Arial"/>
          <w:b w:val="0"/>
          <w:bCs w:val="0"/>
          <w:sz w:val="20"/>
          <w:szCs w:val="20"/>
        </w:rPr>
        <w:t>2026년 9월 대전광역시의회 결산심사에서 다음 다섯 가지가 확인되기를 요청한다.</w:t>
      </w:r>
    </w:p>
    <w:p>
      <w:pPr>
        <w:jc w:val="left"/>
        <w:spacing w:after="100" w:before="240" w:line="384" w:lineRule="auto"/>
      </w:pPr>
      <w:r>
        <w:rPr>
          <w:rFonts w:ascii="Arial" w:eastAsia="맑은 고딕" w:hAnsi="Arial"/>
          <w:b/>
          <w:bCs/>
          <w:sz w:val="22"/>
          <w:szCs w:val="22"/>
        </w:rPr>
        <w:t>1. 대전도시공사 차입금 5,546억 원의 사업별 내역과 상환계획</w:t>
      </w:r>
    </w:p>
    <w:p>
      <w:pPr>
        <w:ind w:firstLine="200"/>
        <w:jc w:val="both"/>
        <w:spacing w:after="60" w:before="0" w:line="384" w:lineRule="auto"/>
      </w:pPr>
      <w:r>
        <w:rPr>
          <w:rFonts w:ascii="Arial" w:eastAsia="맑은 고딕" w:hAnsi="Arial"/>
          <w:b w:val="0"/>
          <w:bCs w:val="0"/>
          <w:sz w:val="20"/>
          <w:szCs w:val="20"/>
        </w:rPr>
        <w:t>세입의 절반이 넘는 규모임에도 결산서에는 총액만 기재돼 있다. 어떤 사업에 얼마를 썼는지, 상환 재원과 일정은 무엇인지 확인되어야 한다. 시 지방채와 달리 의회 의결 절차 밖에 있다는 점에서 가장 시급하다. 중장기 재무관리계획도 함께 확인이 필요하다.</w:t>
      </w:r>
    </w:p>
    <w:p>
      <w:pPr>
        <w:jc w:val="left"/>
        <w:spacing w:after="100" w:before="240" w:line="384" w:lineRule="auto"/>
      </w:pPr>
      <w:r>
        <w:rPr>
          <w:rFonts w:ascii="Arial" w:eastAsia="맑은 고딕" w:hAnsi="Arial"/>
          <w:b/>
          <w:bCs/>
          <w:sz w:val="22"/>
          <w:szCs w:val="22"/>
        </w:rPr>
        <w:t>2. 공기업특별회계(상수도·하수도)의 미집행과 이월 이유</w:t>
      </w:r>
    </w:p>
    <w:p>
      <w:pPr>
        <w:ind w:firstLine="200"/>
        <w:jc w:val="both"/>
        <w:spacing w:after="60" w:before="0" w:line="384" w:lineRule="auto"/>
      </w:pPr>
      <w:r>
        <w:rPr>
          <w:rFonts w:ascii="Arial" w:eastAsia="맑은 고딕" w:hAnsi="Arial"/>
          <w:b w:val="0"/>
          <w:bCs w:val="0"/>
          <w:sz w:val="20"/>
          <w:szCs w:val="20"/>
        </w:rPr>
        <w:t>이월 1,005억 원(하수도 719억·상수도 286억)의 사업별 사유가 담긴 자료다. '긴급 보수' 사업의 집행률이 4.4%에 그친 이유, '도시침수 대응' 사업이 사실상 집행되지 않은 이유를 여기서 확인해야 한다. 사업별 공정과 수정 준공 시점을 함께 확인해 주기를 요청한다.</w:t>
      </w:r>
    </w:p>
    <w:p>
      <w:pPr>
        <w:jc w:val="left"/>
        <w:spacing w:after="100" w:before="240" w:line="384" w:lineRule="auto"/>
      </w:pPr>
      <w:r>
        <w:rPr>
          <w:rFonts w:ascii="Arial" w:eastAsia="맑은 고딕" w:hAnsi="Arial"/>
          <w:b/>
          <w:bCs/>
          <w:sz w:val="22"/>
          <w:szCs w:val="22"/>
        </w:rPr>
        <w:t>3. 2025회계연도 성과보고서와 재정혁신 71개 사업 목록</w:t>
      </w:r>
    </w:p>
    <w:p>
      <w:pPr>
        <w:ind w:firstLine="200"/>
        <w:jc w:val="both"/>
        <w:spacing w:after="60" w:before="0" w:line="384" w:lineRule="auto"/>
      </w:pPr>
      <w:r>
        <w:rPr>
          <w:rFonts w:ascii="Arial" w:eastAsia="맑은 고딕" w:hAnsi="Arial"/>
          <w:b w:val="0"/>
          <w:bCs w:val="0"/>
          <w:sz w:val="20"/>
          <w:szCs w:val="20"/>
        </w:rPr>
        <w:t>성과보고서는 사업이 무엇을 남겼는지를 보여주는 자료다. 아울러 2026년 7월 30일 발표된 재정혁신 방안의 조정 사업 71건(종료 8·장기재검토 29·재원조정 34) 목록과 개별 검토서가 필요하다. 2025년 결산에서 확인된 저집행 사업 가운데 어느 것이 이 목록에 포함되고 어느 것이 빠졌는지를 대조해야 조정의 기준을 검증할 수 있다.</w:t>
      </w:r>
    </w:p>
    <w:p>
      <w:pPr>
        <w:jc w:val="left"/>
        <w:spacing w:after="100" w:before="240" w:line="384" w:lineRule="auto"/>
      </w:pPr>
      <w:r>
        <w:rPr>
          <w:rFonts w:ascii="Arial" w:eastAsia="맑은 고딕" w:hAnsi="Arial"/>
          <w:b/>
          <w:bCs/>
          <w:sz w:val="22"/>
          <w:szCs w:val="22"/>
        </w:rPr>
        <w:t>4. 도시철도 2호선 이월 사유와 자금 흐름</w:t>
      </w:r>
    </w:p>
    <w:p>
      <w:pPr>
        <w:ind w:left="300" w:hanging="200"/>
        <w:jc w:val="both"/>
        <w:spacing w:after="60" w:before="0" w:line="384" w:lineRule="auto"/>
      </w:pPr>
      <w:r>
        <w:rPr>
          <w:rFonts w:ascii="Arial" w:eastAsia="맑은 고딕" w:hAnsi="Arial"/>
          <w:b w:val="0"/>
          <w:bCs w:val="0"/>
          <w:sz w:val="20"/>
          <w:szCs w:val="20"/>
        </w:rPr>
        <w:t>● 계속비이월 1,036.9억 원을 차량제작비·공구별 공사비·감리비로 나눈 사유와 연차별 집행계획 대비 실적</w:t>
      </w:r>
    </w:p>
    <w:p>
      <w:pPr>
        <w:ind w:left="300" w:hanging="200"/>
        <w:jc w:val="both"/>
        <w:spacing w:after="60" w:before="0" w:line="384" w:lineRule="auto"/>
      </w:pPr>
      <w:r>
        <w:rPr>
          <w:rFonts w:ascii="Arial" w:eastAsia="맑은 고딕" w:hAnsi="Arial"/>
          <w:b w:val="0"/>
          <w:bCs w:val="0"/>
          <w:sz w:val="20"/>
          <w:szCs w:val="20"/>
        </w:rPr>
        <w:t>● 총사업비 표기 불일치: 주요사업 추진현황(인쇄 134쪽) 1조 5,068.55억 원과 계속비이월 명세(인쇄 266쪽) 1조 4,973.87억 원의 94.68억 원 차이. 또한 계속비이월액 1,001억 원 아래 괄호로 표기된 249.43억 원(자금없는 이월)의 의미가 설명되어 있지 않아, 같은 결산서에서 도시철도 이월액이 1,037억 원으로도 787억 원으로도 읽힌다.</w:t>
      </w:r>
    </w:p>
    <w:p>
      <w:pPr>
        <w:ind w:left="300" w:hanging="200"/>
        <w:jc w:val="both"/>
        <w:spacing w:after="60" w:before="0" w:line="384" w:lineRule="auto"/>
      </w:pPr>
      <w:r>
        <w:rPr>
          <w:rFonts w:ascii="Arial" w:eastAsia="맑은 고딕" w:hAnsi="Arial"/>
          <w:b w:val="0"/>
          <w:bCs w:val="0"/>
          <w:sz w:val="20"/>
          <w:szCs w:val="20"/>
        </w:rPr>
        <w:t xml:space="preserve">● </w:t>
      </w:r>
      <w:r>
        <w:rPr>
          <w:rFonts w:ascii="Arial" w:eastAsia="맑은 고딕" w:hAnsi="Arial"/>
          <w:b/>
          <w:bCs/>
          <w:sz w:val="20"/>
          <w:szCs w:val="20"/>
        </w:rPr>
        <w:t>지방채 973억 원의 자금 흐름</w:t>
      </w:r>
      <w:r>
        <w:rPr>
          <w:rFonts w:ascii="Arial" w:eastAsia="맑은 고딕" w:hAnsi="Arial"/>
          <w:b w:val="0"/>
          <w:bCs w:val="0"/>
          <w:sz w:val="20"/>
          <w:szCs w:val="20"/>
        </w:rPr>
        <w:t>: 12월 22일 590억 원 발행의 자금계획상 필요, 발행 자금의 실제 사용 시점과 대상, 신규 채권의 첫 이자 지급일과 금액. Ⅳ장 1절에서 확인한 대로 조달과 집행의 시점 괴리가 뚜렷하므로, 이자 부담이 실제로 얼마나 발생했는지는 자금관리 자료로만 확인된다.</w:t>
      </w:r>
    </w:p>
    <w:p>
      <w:pPr>
        <w:ind w:left="300" w:hanging="200"/>
        <w:jc w:val="both"/>
        <w:spacing w:after="60" w:before="0" w:line="384" w:lineRule="auto"/>
      </w:pPr>
      <w:r>
        <w:rPr>
          <w:rFonts w:ascii="Arial" w:eastAsia="맑은 고딕" w:hAnsi="Arial"/>
          <w:b w:val="0"/>
          <w:bCs w:val="0"/>
          <w:sz w:val="20"/>
          <w:szCs w:val="20"/>
        </w:rPr>
        <w:t>● 개통 지연이 계속비 연차별 배분에 어떻게 반영되는지</w:t>
      </w:r>
    </w:p>
    <w:p>
      <w:pPr>
        <w:jc w:val="left"/>
        <w:spacing w:after="100" w:before="240" w:line="384" w:lineRule="auto"/>
      </w:pPr>
      <w:r>
        <w:rPr>
          <w:rFonts w:ascii="Arial" w:eastAsia="맑은 고딕" w:hAnsi="Arial"/>
          <w:b/>
          <w:bCs/>
          <w:sz w:val="22"/>
          <w:szCs w:val="22"/>
        </w:rPr>
        <w:t>5. 채무 1조 5,864억 원의 상환계획과 미확인 재정지표</w:t>
      </w:r>
    </w:p>
    <w:p>
      <w:pPr>
        <w:ind w:left="300" w:hanging="200"/>
        <w:jc w:val="both"/>
        <w:spacing w:after="60" w:before="0" w:line="384" w:lineRule="auto"/>
      </w:pPr>
      <w:r>
        <w:rPr>
          <w:rFonts w:ascii="Arial" w:eastAsia="맑은 고딕" w:hAnsi="Arial"/>
          <w:b w:val="0"/>
          <w:bCs w:val="0"/>
          <w:sz w:val="20"/>
          <w:szCs w:val="20"/>
        </w:rPr>
        <w:t>● 2025년 말 채무 1조 5,864억 원의 연차별 상환계획. 지방채증권 상환 소요만 2026년 1,642억 원·2027년 1,557억 원·2028년 1,496억 원이다. 상환 재원(순세계잉여금·일반재원·차환)을 제시해야 한다.</w:t>
      </w:r>
    </w:p>
    <w:p>
      <w:pPr>
        <w:ind w:left="300" w:hanging="200"/>
        <w:jc w:val="both"/>
        <w:spacing w:after="60" w:before="0" w:line="384" w:lineRule="auto"/>
      </w:pPr>
      <w:r>
        <w:rPr>
          <w:rFonts w:ascii="Arial" w:eastAsia="맑은 고딕" w:hAnsi="Arial"/>
          <w:b w:val="0"/>
          <w:bCs w:val="0"/>
          <w:sz w:val="20"/>
          <w:szCs w:val="20"/>
        </w:rPr>
        <w:t>● 순세계잉여금 사용계획에서 기금 적립이 0원인 근거</w:t>
      </w:r>
    </w:p>
    <w:p>
      <w:pPr>
        <w:ind w:left="300" w:hanging="200"/>
        <w:jc w:val="both"/>
        <w:spacing w:after="60" w:before="0" w:line="384" w:lineRule="auto"/>
      </w:pPr>
      <w:r>
        <w:rPr>
          <w:rFonts w:ascii="Arial" w:eastAsia="맑은 고딕" w:hAnsi="Arial"/>
          <w:b w:val="0"/>
          <w:bCs w:val="0"/>
          <w:sz w:val="20"/>
          <w:szCs w:val="20"/>
        </w:rPr>
        <w:t xml:space="preserve">● </w:t>
      </w:r>
      <w:r>
        <w:rPr>
          <w:rFonts w:ascii="Arial" w:eastAsia="맑은 고딕" w:hAnsi="Arial"/>
          <w:b/>
          <w:bCs/>
          <w:sz w:val="20"/>
          <w:szCs w:val="20"/>
        </w:rPr>
        <w:t>법정 6지표 중 산출하지 못한 항목의 확정값</w:t>
      </w:r>
      <w:r>
        <w:rPr>
          <w:rFonts w:ascii="Arial" w:eastAsia="맑은 고딕" w:hAnsi="Arial"/>
          <w:b w:val="0"/>
          <w:bCs w:val="0"/>
          <w:sz w:val="20"/>
          <w:szCs w:val="20"/>
        </w:rPr>
        <w:t>: 채무상환비 비율은 결산서 수치로 약 4.6~4.8%로 추정했으나 이자상환액의 정의에 따라 달라진다. 금고잔액비율은 원천 자료가 없고, 통합재정수지비율은 행정안전부 산식이 확정되지 않아, 지방세징수액 비율은 징수결정액 분해표가 없어 각각 산출하지 못했다. 네 지표의 2025년 확정값과 산식을 확인해 주기를 요청한다.</w:t>
      </w:r>
    </w:p>
    <w:p>
      <w:pPr>
        <w:ind w:left="300" w:hanging="200"/>
        <w:jc w:val="both"/>
        <w:spacing w:after="60" w:before="0" w:line="384" w:lineRule="auto"/>
      </w:pPr>
      <w:r>
        <w:rPr>
          <w:rFonts w:ascii="Arial" w:eastAsia="맑은 고딕" w:hAnsi="Arial"/>
          <w:b w:val="0"/>
          <w:bCs w:val="0"/>
          <w:sz w:val="20"/>
          <w:szCs w:val="20"/>
        </w:rPr>
        <w:t xml:space="preserve">● </w:t>
      </w:r>
      <w:r>
        <w:rPr>
          <w:rFonts w:ascii="Arial" w:eastAsia="맑은 고딕" w:hAnsi="Arial"/>
          <w:b/>
          <w:bCs/>
          <w:sz w:val="20"/>
          <w:szCs w:val="20"/>
        </w:rPr>
        <w:t>행정안전부가 통보한 2025년 지방채 발행 한도액과 소진율</w:t>
      </w:r>
    </w:p>
    <w:p>
      <w:pPr>
        <w:ind w:firstLine="200"/>
        <w:jc w:val="both"/>
        <w:spacing w:after="60" w:before="0" w:line="384" w:lineRule="auto"/>
      </w:pPr>
      <w:r>
        <w:rPr>
          <w:rFonts w:ascii="Arial" w:eastAsia="맑은 고딕" w:hAnsi="Arial"/>
          <w:b w:val="0"/>
          <w:bCs w:val="0"/>
          <w:sz w:val="20"/>
          <w:szCs w:val="20"/>
        </w:rPr>
        <w:t>참고 자료</w:t>
      </w:r>
    </w:p>
    <w:p>
      <w:pPr>
        <w:ind w:left="300" w:hanging="200"/>
        <w:jc w:val="both"/>
        <w:spacing w:after="60" w:before="0" w:line="384" w:lineRule="auto"/>
      </w:pPr>
      <w:r>
        <w:rPr>
          <w:rFonts w:ascii="Arial" w:eastAsia="맑은 고딕" w:hAnsi="Arial"/>
          <w:b w:val="0"/>
          <w:bCs w:val="0"/>
          <w:sz w:val="20"/>
          <w:szCs w:val="20"/>
        </w:rPr>
        <w:t>● 대전광역시, 「2025회계연도 결산서」(초안), 「결산서 첨부서류」(수정본), 「기금결산보고서」</w:t>
      </w:r>
    </w:p>
    <w:p>
      <w:pPr>
        <w:ind w:left="300" w:hanging="200"/>
        <w:jc w:val="both"/>
        <w:spacing w:after="60" w:before="0" w:line="384" w:lineRule="auto"/>
      </w:pPr>
      <w:r>
        <w:rPr>
          <w:rFonts w:ascii="Arial" w:eastAsia="맑은 고딕" w:hAnsi="Arial"/>
          <w:b w:val="0"/>
          <w:bCs w:val="0"/>
          <w:sz w:val="20"/>
          <w:szCs w:val="20"/>
        </w:rPr>
        <w:t>● 대전광역시, 「2026년도 제1회 추가경정예산 사업별 설명자료」, 2026.7.</w:t>
      </w:r>
    </w:p>
    <w:p>
      <w:pPr>
        <w:ind w:left="300" w:hanging="200"/>
        <w:jc w:val="both"/>
        <w:spacing w:after="60" w:before="0" w:line="384" w:lineRule="auto"/>
      </w:pPr>
      <w:r>
        <w:rPr>
          <w:rFonts w:ascii="Arial" w:eastAsia="맑은 고딕" w:hAnsi="Arial"/>
          <w:b w:val="0"/>
          <w:bCs w:val="0"/>
          <w:sz w:val="20"/>
          <w:szCs w:val="20"/>
        </w:rPr>
        <w:t>● 행정안전부 지방재정365, 결산 지표(재원별 세입결산·세출결산·회계별지방채잔액·재정자립도결산·재정자주도결산·통합재정수지비율결산·예산대비채무비율·지방공기업부채비율·보증채무비율·시도별징수율·지역통합부채현황), 2016~2024.</w:t>
      </w:r>
    </w:p>
    <w:p>
      <w:pPr>
        <w:ind w:left="300" w:hanging="200"/>
        <w:jc w:val="both"/>
        <w:spacing w:after="60" w:before="0" w:line="384" w:lineRule="auto"/>
      </w:pPr>
      <w:r>
        <w:rPr>
          <w:rFonts w:ascii="Arial" w:eastAsia="맑은 고딕" w:hAnsi="Arial"/>
          <w:b w:val="0"/>
          <w:bCs w:val="0"/>
          <w:sz w:val="20"/>
          <w:szCs w:val="20"/>
        </w:rPr>
        <w:t>● 「지방재정법」 제11조·제55조의2, 「지방재정법 시행령」 제10조·제65조의3 (2026년 9월 3일 현행)</w:t>
      </w:r>
    </w:p>
    <w:p>
      <w:r>
        <w:br w:type="page"/>
      </w:r>
    </w:p>
    <w:p>
      <w:pPr>
        <w:jc w:val="left"/>
        <w:spacing w:after="140" w:before="320" w:line="384" w:lineRule="auto"/>
      </w:pPr>
      <w:r>
        <w:rPr>
          <w:rFonts w:ascii="Arial" w:eastAsia="맑은 고딕" w:hAnsi="Arial"/>
          <w:b/>
          <w:bCs/>
          <w:sz w:val="26"/>
          <w:szCs w:val="26"/>
        </w:rPr>
        <w:t>첨부 1. 예산현액 50억 원 이상·집행률 60% 미만 사업 (2025년, 18건)</w:t>
      </w:r>
    </w:p>
    <w:p>
      <w:pPr>
        <w:jc w:val="center"/>
        <w:spacing w:after="60" w:before="160" w:line="384" w:lineRule="auto"/>
      </w:pPr>
      <w:r>
        <w:rPr>
          <w:rFonts w:ascii="Arial" w:eastAsia="맑은 고딕" w:hAnsi="Arial"/>
          <w:b/>
          <w:bCs/>
          <w:sz w:val="20"/>
          <w:szCs w:val="20"/>
        </w:rPr>
        <w:t>&lt;표 17&gt; 저집행 대형사업 명단 (집행률 낮은 순, 단위: 억원)</w:t>
      </w:r>
    </w:p>
    <w:tbl>
      <w:tblPr>
        <w:tblW w:w="87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02"/>
        <w:gridCol w:w="1034"/>
        <w:gridCol w:w="905"/>
        <w:gridCol w:w="700"/>
        <w:gridCol w:w="700"/>
        <w:gridCol w:w="700"/>
        <w:gridCol w:w="700"/>
        <w:gridCol w:w="700"/>
        <w:gridCol w:w="247"/>
      </w:tblGrid>
      <w:tr>
        <w:trPr>
          <w:tblHeader/>
        </w:trPr>
        <w:tc>
          <w:tcPr>
            <w:tcW w:w="3102"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center"/>
              <w:spacing w:after="0" w:line="264" w:lineRule="auto"/>
            </w:pPr>
            <w:r>
              <w:rPr>
                <w:rFonts w:ascii="Arial" w:eastAsia="맑은 고딕" w:hAnsi="Arial"/>
                <w:b/>
                <w:bCs/>
                <w:sz w:val="18"/>
                <w:szCs w:val="18"/>
              </w:rPr>
              <w:t>사업명</w:t>
            </w:r>
          </w:p>
        </w:tc>
        <w:tc>
          <w:tcPr>
            <w:tcW w:w="1034"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center"/>
              <w:spacing w:after="0" w:line="264" w:lineRule="auto"/>
            </w:pPr>
            <w:r>
              <w:rPr>
                <w:rFonts w:ascii="Arial" w:eastAsia="맑은 고딕" w:hAnsi="Arial"/>
                <w:b/>
                <w:bCs/>
                <w:sz w:val="18"/>
                <w:szCs w:val="18"/>
              </w:rPr>
              <w:t>회계</w:t>
            </w:r>
          </w:p>
        </w:tc>
        <w:tc>
          <w:tcPr>
            <w:tcW w:w="905"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center"/>
              <w:spacing w:after="0" w:line="264" w:lineRule="auto"/>
            </w:pPr>
            <w:r>
              <w:rPr>
                <w:rFonts w:ascii="Arial" w:eastAsia="맑은 고딕" w:hAnsi="Arial"/>
                <w:b/>
                <w:bCs/>
                <w:sz w:val="18"/>
                <w:szCs w:val="18"/>
              </w:rPr>
              <w:t>소관부서</w:t>
            </w:r>
          </w:p>
        </w:tc>
        <w:tc>
          <w:tcPr>
            <w:tcW w:w="7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center"/>
              <w:spacing w:after="0" w:line="264" w:lineRule="auto"/>
            </w:pPr>
            <w:r>
              <w:rPr>
                <w:rFonts w:ascii="Arial" w:eastAsia="맑은 고딕" w:hAnsi="Arial"/>
                <w:b/>
                <w:bCs/>
                <w:sz w:val="18"/>
                <w:szCs w:val="18"/>
              </w:rPr>
              <w:t>예산현액</w:t>
            </w:r>
          </w:p>
        </w:tc>
        <w:tc>
          <w:tcPr>
            <w:tcW w:w="7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center"/>
              <w:spacing w:after="0" w:line="264" w:lineRule="auto"/>
            </w:pPr>
            <w:r>
              <w:rPr>
                <w:rFonts w:ascii="Arial" w:eastAsia="맑은 고딕" w:hAnsi="Arial"/>
                <w:b/>
                <w:bCs/>
                <w:sz w:val="18"/>
                <w:szCs w:val="18"/>
              </w:rPr>
              <w:t>지출액</w:t>
            </w:r>
          </w:p>
        </w:tc>
        <w:tc>
          <w:tcPr>
            <w:tcW w:w="7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center"/>
              <w:spacing w:after="0" w:line="264" w:lineRule="auto"/>
            </w:pPr>
            <w:r>
              <w:rPr>
                <w:rFonts w:ascii="Arial" w:eastAsia="맑은 고딕" w:hAnsi="Arial"/>
                <w:b/>
                <w:bCs/>
                <w:sz w:val="18"/>
                <w:szCs w:val="18"/>
              </w:rPr>
              <w:t>집행률</w:t>
            </w:r>
          </w:p>
        </w:tc>
        <w:tc>
          <w:tcPr>
            <w:tcW w:w="7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center"/>
              <w:spacing w:after="0" w:line="264" w:lineRule="auto"/>
            </w:pPr>
            <w:r>
              <w:rPr>
                <w:rFonts w:ascii="Arial" w:eastAsia="맑은 고딕" w:hAnsi="Arial"/>
                <w:b/>
                <w:bCs/>
                <w:sz w:val="18"/>
                <w:szCs w:val="18"/>
              </w:rPr>
              <w:t>집행잔액</w:t>
            </w:r>
          </w:p>
        </w:tc>
        <w:tc>
          <w:tcPr>
            <w:tcW w:w="7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center"/>
              <w:spacing w:after="0" w:line="264" w:lineRule="auto"/>
            </w:pPr>
            <w:r>
              <w:rPr>
                <w:rFonts w:ascii="Arial" w:eastAsia="맑은 고딕" w:hAnsi="Arial"/>
                <w:b/>
                <w:bCs/>
                <w:sz w:val="18"/>
                <w:szCs w:val="18"/>
              </w:rPr>
              <w:t>국비</w:t>
            </w:r>
          </w:p>
        </w:tc>
        <w:tc>
          <w:tcPr>
            <w:tcW w:w="247"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center"/>
              <w:spacing w:after="0" w:line="264" w:lineRule="auto"/>
            </w:pPr>
            <w:r>
              <w:rPr>
                <w:rFonts w:ascii="Arial" w:eastAsia="맑은 고딕" w:hAnsi="Arial"/>
                <w:b/>
                <w:bCs/>
                <w:sz w:val="18"/>
                <w:szCs w:val="18"/>
              </w:rPr>
              <w:t>시도비</w:t>
            </w:r>
          </w:p>
        </w:tc>
      </w:tr>
      <w:tr>
        <w:trPr/>
        <w:tc>
          <w:tcPr>
            <w:tcW w:w="3102"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val="0"/>
                <w:bCs w:val="0"/>
                <w:sz w:val="18"/>
                <w:szCs w:val="18"/>
              </w:rPr>
              <w:t>지하차도 진입차단시설 설치</w:t>
            </w:r>
          </w:p>
        </w:tc>
        <w:tc>
          <w:tcPr>
            <w:tcW w:w="1034"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val="0"/>
                <w:bCs w:val="0"/>
                <w:sz w:val="18"/>
                <w:szCs w:val="18"/>
              </w:rPr>
              <w:t>일반회계</w:t>
            </w:r>
          </w:p>
        </w:tc>
        <w:tc>
          <w:tcPr>
            <w:tcW w:w="905"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val="0"/>
                <w:bCs w:val="0"/>
                <w:sz w:val="18"/>
                <w:szCs w:val="18"/>
              </w:rPr>
              <w:t>건설도로과</w:t>
            </w:r>
          </w:p>
        </w:tc>
        <w:tc>
          <w:tcPr>
            <w:tcW w:w="7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val="0"/>
                <w:bCs w:val="0"/>
                <w:sz w:val="18"/>
                <w:szCs w:val="18"/>
              </w:rPr>
              <w:t>66.0</w:t>
            </w:r>
          </w:p>
        </w:tc>
        <w:tc>
          <w:tcPr>
            <w:tcW w:w="7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val="0"/>
                <w:bCs w:val="0"/>
                <w:sz w:val="18"/>
                <w:szCs w:val="18"/>
              </w:rPr>
              <w:t>0.6</w:t>
            </w:r>
          </w:p>
        </w:tc>
        <w:tc>
          <w:tcPr>
            <w:tcW w:w="7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bCs/>
                <w:sz w:val="18"/>
                <w:szCs w:val="18"/>
              </w:rPr>
              <w:t>0.9%</w:t>
            </w:r>
          </w:p>
        </w:tc>
        <w:tc>
          <w:tcPr>
            <w:tcW w:w="7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val="0"/>
                <w:bCs w:val="0"/>
                <w:sz w:val="18"/>
                <w:szCs w:val="18"/>
              </w:rPr>
              <w:t>65.4</w:t>
            </w:r>
          </w:p>
        </w:tc>
        <w:tc>
          <w:tcPr>
            <w:tcW w:w="7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val="0"/>
                <w:bCs w:val="0"/>
                <w:sz w:val="18"/>
                <w:szCs w:val="18"/>
              </w:rPr>
              <w:t>60.0</w:t>
            </w:r>
          </w:p>
        </w:tc>
        <w:tc>
          <w:tcPr>
            <w:tcW w:w="247"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val="0"/>
                <w:bCs w:val="0"/>
                <w:sz w:val="18"/>
                <w:szCs w:val="18"/>
              </w:rPr>
              <w:t>6.0</w:t>
            </w:r>
          </w:p>
        </w:tc>
      </w:tr>
      <w:tr>
        <w:trPr/>
        <w:tc>
          <w:tcPr>
            <w:tcW w:w="3102"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val="0"/>
                <w:bCs w:val="0"/>
                <w:sz w:val="18"/>
                <w:szCs w:val="18"/>
              </w:rPr>
              <w:t>대덕특구 융합연구혁신센터 조성사업</w:t>
            </w:r>
          </w:p>
        </w:tc>
        <w:tc>
          <w:tcPr>
            <w:tcW w:w="1034"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val="0"/>
                <w:bCs w:val="0"/>
                <w:sz w:val="18"/>
                <w:szCs w:val="18"/>
              </w:rPr>
              <w:t>일반회계</w:t>
            </w:r>
          </w:p>
        </w:tc>
        <w:tc>
          <w:tcPr>
            <w:tcW w:w="905"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val="0"/>
                <w:bCs w:val="0"/>
                <w:sz w:val="18"/>
                <w:szCs w:val="18"/>
              </w:rPr>
              <w:t>과학협력과</w:t>
            </w:r>
          </w:p>
        </w:tc>
        <w:tc>
          <w:tcPr>
            <w:tcW w:w="7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val="0"/>
                <w:bCs w:val="0"/>
                <w:sz w:val="18"/>
                <w:szCs w:val="18"/>
              </w:rPr>
              <w:t>65.4</w:t>
            </w:r>
          </w:p>
        </w:tc>
        <w:tc>
          <w:tcPr>
            <w:tcW w:w="7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val="0"/>
                <w:bCs w:val="0"/>
                <w:sz w:val="18"/>
                <w:szCs w:val="18"/>
              </w:rPr>
              <w:t>2.8</w:t>
            </w:r>
          </w:p>
        </w:tc>
        <w:tc>
          <w:tcPr>
            <w:tcW w:w="7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bCs/>
                <w:sz w:val="18"/>
                <w:szCs w:val="18"/>
              </w:rPr>
              <w:t>4.3%</w:t>
            </w:r>
          </w:p>
        </w:tc>
        <w:tc>
          <w:tcPr>
            <w:tcW w:w="7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val="0"/>
                <w:bCs w:val="0"/>
                <w:sz w:val="18"/>
                <w:szCs w:val="18"/>
              </w:rPr>
              <w:t>62.5</w:t>
            </w:r>
          </w:p>
        </w:tc>
        <w:tc>
          <w:tcPr>
            <w:tcW w:w="7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val="0"/>
                <w:bCs w:val="0"/>
                <w:sz w:val="18"/>
                <w:szCs w:val="18"/>
              </w:rPr>
              <w:t>54.7</w:t>
            </w:r>
          </w:p>
        </w:tc>
        <w:tc>
          <w:tcPr>
            <w:tcW w:w="247"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val="0"/>
                <w:bCs w:val="0"/>
                <w:sz w:val="18"/>
                <w:szCs w:val="18"/>
              </w:rPr>
              <w:t>10.6</w:t>
            </w:r>
          </w:p>
        </w:tc>
      </w:tr>
      <w:tr>
        <w:trPr/>
        <w:tc>
          <w:tcPr>
            <w:tcW w:w="3102"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val="0"/>
                <w:bCs w:val="0"/>
                <w:sz w:val="18"/>
                <w:szCs w:val="18"/>
              </w:rPr>
              <w:t>융복합 특수영상 콘텐츠 클러스터 조성</w:t>
            </w:r>
          </w:p>
        </w:tc>
        <w:tc>
          <w:tcPr>
            <w:tcW w:w="1034"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val="0"/>
                <w:bCs w:val="0"/>
                <w:sz w:val="18"/>
                <w:szCs w:val="18"/>
              </w:rPr>
              <w:t>일반회계</w:t>
            </w:r>
          </w:p>
        </w:tc>
        <w:tc>
          <w:tcPr>
            <w:tcW w:w="905"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val="0"/>
                <w:bCs w:val="0"/>
                <w:sz w:val="18"/>
                <w:szCs w:val="18"/>
              </w:rPr>
              <w:t>문화콘텐츠과</w:t>
            </w:r>
          </w:p>
        </w:tc>
        <w:tc>
          <w:tcPr>
            <w:tcW w:w="7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val="0"/>
                <w:bCs w:val="0"/>
                <w:sz w:val="18"/>
                <w:szCs w:val="18"/>
              </w:rPr>
              <w:t>178.9</w:t>
            </w:r>
          </w:p>
        </w:tc>
        <w:tc>
          <w:tcPr>
            <w:tcW w:w="7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val="0"/>
                <w:bCs w:val="0"/>
                <w:sz w:val="18"/>
                <w:szCs w:val="18"/>
              </w:rPr>
              <w:t>11.1</w:t>
            </w:r>
          </w:p>
        </w:tc>
        <w:tc>
          <w:tcPr>
            <w:tcW w:w="7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bCs/>
                <w:sz w:val="18"/>
                <w:szCs w:val="18"/>
              </w:rPr>
              <w:t>6.2%</w:t>
            </w:r>
          </w:p>
        </w:tc>
        <w:tc>
          <w:tcPr>
            <w:tcW w:w="7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val="0"/>
                <w:bCs w:val="0"/>
                <w:sz w:val="18"/>
                <w:szCs w:val="18"/>
              </w:rPr>
              <w:t>167.8</w:t>
            </w:r>
          </w:p>
        </w:tc>
        <w:tc>
          <w:tcPr>
            <w:tcW w:w="7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val="0"/>
                <w:bCs w:val="0"/>
                <w:sz w:val="18"/>
                <w:szCs w:val="18"/>
              </w:rPr>
              <w:t>89.4</w:t>
            </w:r>
          </w:p>
        </w:tc>
        <w:tc>
          <w:tcPr>
            <w:tcW w:w="247"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val="0"/>
                <w:bCs w:val="0"/>
                <w:sz w:val="18"/>
                <w:szCs w:val="18"/>
              </w:rPr>
              <w:t>89.5</w:t>
            </w:r>
          </w:p>
        </w:tc>
      </w:tr>
      <w:tr>
        <w:trPr/>
        <w:tc>
          <w:tcPr>
            <w:tcW w:w="3102"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val="0"/>
                <w:bCs w:val="0"/>
                <w:sz w:val="18"/>
                <w:szCs w:val="18"/>
              </w:rPr>
              <w:t>보문산권역 산림복지휴양단지 조성(전환2-2)</w:t>
            </w:r>
          </w:p>
        </w:tc>
        <w:tc>
          <w:tcPr>
            <w:tcW w:w="1034"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val="0"/>
                <w:bCs w:val="0"/>
                <w:sz w:val="18"/>
                <w:szCs w:val="18"/>
              </w:rPr>
              <w:t>일반회계</w:t>
            </w:r>
          </w:p>
        </w:tc>
        <w:tc>
          <w:tcPr>
            <w:tcW w:w="905"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val="0"/>
                <w:bCs w:val="0"/>
                <w:sz w:val="18"/>
                <w:szCs w:val="18"/>
              </w:rPr>
              <w:t>산림녹지정책과</w:t>
            </w:r>
          </w:p>
        </w:tc>
        <w:tc>
          <w:tcPr>
            <w:tcW w:w="7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val="0"/>
                <w:bCs w:val="0"/>
                <w:sz w:val="18"/>
                <w:szCs w:val="18"/>
              </w:rPr>
              <w:t>65.8</w:t>
            </w:r>
          </w:p>
        </w:tc>
        <w:tc>
          <w:tcPr>
            <w:tcW w:w="7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val="0"/>
                <w:bCs w:val="0"/>
                <w:sz w:val="18"/>
                <w:szCs w:val="18"/>
              </w:rPr>
              <w:t>7.3</w:t>
            </w:r>
          </w:p>
        </w:tc>
        <w:tc>
          <w:tcPr>
            <w:tcW w:w="7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val="0"/>
                <w:bCs w:val="0"/>
                <w:sz w:val="18"/>
                <w:szCs w:val="18"/>
              </w:rPr>
              <w:t>11.1%</w:t>
            </w:r>
          </w:p>
        </w:tc>
        <w:tc>
          <w:tcPr>
            <w:tcW w:w="7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val="0"/>
                <w:bCs w:val="0"/>
                <w:sz w:val="18"/>
                <w:szCs w:val="18"/>
              </w:rPr>
              <w:t>58.5</w:t>
            </w:r>
          </w:p>
        </w:tc>
        <w:tc>
          <w:tcPr>
            <w:tcW w:w="7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val="0"/>
                <w:bCs w:val="0"/>
                <w:sz w:val="18"/>
                <w:szCs w:val="18"/>
              </w:rPr>
              <w:t>0.0</w:t>
            </w:r>
          </w:p>
        </w:tc>
        <w:tc>
          <w:tcPr>
            <w:tcW w:w="247"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val="0"/>
                <w:bCs w:val="0"/>
                <w:sz w:val="18"/>
                <w:szCs w:val="18"/>
              </w:rPr>
              <w:t>65.8</w:t>
            </w:r>
          </w:p>
        </w:tc>
      </w:tr>
      <w:tr>
        <w:trPr/>
        <w:tc>
          <w:tcPr>
            <w:tcW w:w="3102"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val="0"/>
                <w:bCs w:val="0"/>
                <w:sz w:val="18"/>
                <w:szCs w:val="18"/>
              </w:rPr>
              <w:t>국민체육센터건립(근린생활형)(전환2-2)</w:t>
            </w:r>
          </w:p>
        </w:tc>
        <w:tc>
          <w:tcPr>
            <w:tcW w:w="1034"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val="0"/>
                <w:bCs w:val="0"/>
                <w:sz w:val="18"/>
                <w:szCs w:val="18"/>
              </w:rPr>
              <w:t>일반회계</w:t>
            </w:r>
          </w:p>
        </w:tc>
        <w:tc>
          <w:tcPr>
            <w:tcW w:w="905"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val="0"/>
                <w:bCs w:val="0"/>
                <w:sz w:val="18"/>
                <w:szCs w:val="18"/>
              </w:rPr>
              <w:t>체육시설과</w:t>
            </w:r>
          </w:p>
        </w:tc>
        <w:tc>
          <w:tcPr>
            <w:tcW w:w="7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val="0"/>
                <w:bCs w:val="0"/>
                <w:sz w:val="18"/>
                <w:szCs w:val="18"/>
              </w:rPr>
              <w:t>77.8</w:t>
            </w:r>
          </w:p>
        </w:tc>
        <w:tc>
          <w:tcPr>
            <w:tcW w:w="7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val="0"/>
                <w:bCs w:val="0"/>
                <w:sz w:val="18"/>
                <w:szCs w:val="18"/>
              </w:rPr>
              <w:t>13.6</w:t>
            </w:r>
          </w:p>
        </w:tc>
        <w:tc>
          <w:tcPr>
            <w:tcW w:w="7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val="0"/>
                <w:bCs w:val="0"/>
                <w:sz w:val="18"/>
                <w:szCs w:val="18"/>
              </w:rPr>
              <w:t>17.5%</w:t>
            </w:r>
          </w:p>
        </w:tc>
        <w:tc>
          <w:tcPr>
            <w:tcW w:w="7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val="0"/>
                <w:bCs w:val="0"/>
                <w:sz w:val="18"/>
                <w:szCs w:val="18"/>
              </w:rPr>
              <w:t>64.2</w:t>
            </w:r>
          </w:p>
        </w:tc>
        <w:tc>
          <w:tcPr>
            <w:tcW w:w="7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val="0"/>
                <w:bCs w:val="0"/>
                <w:sz w:val="18"/>
                <w:szCs w:val="18"/>
              </w:rPr>
              <w:t>9.5</w:t>
            </w:r>
          </w:p>
        </w:tc>
        <w:tc>
          <w:tcPr>
            <w:tcW w:w="247"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val="0"/>
                <w:bCs w:val="0"/>
                <w:sz w:val="18"/>
                <w:szCs w:val="18"/>
              </w:rPr>
              <w:t>68.3</w:t>
            </w:r>
          </w:p>
        </w:tc>
      </w:tr>
      <w:tr>
        <w:trPr/>
        <w:tc>
          <w:tcPr>
            <w:tcW w:w="3102"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val="0"/>
                <w:bCs w:val="0"/>
                <w:sz w:val="18"/>
                <w:szCs w:val="18"/>
              </w:rPr>
              <w:t>보문산 수목원 매입 및 조성 등</w:t>
            </w:r>
          </w:p>
        </w:tc>
        <w:tc>
          <w:tcPr>
            <w:tcW w:w="1034"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val="0"/>
                <w:bCs w:val="0"/>
                <w:sz w:val="18"/>
                <w:szCs w:val="18"/>
              </w:rPr>
              <w:t>녹지기금</w:t>
            </w:r>
          </w:p>
        </w:tc>
        <w:tc>
          <w:tcPr>
            <w:tcW w:w="905"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val="0"/>
                <w:bCs w:val="0"/>
                <w:sz w:val="18"/>
                <w:szCs w:val="18"/>
              </w:rPr>
              <w:t>확인 불가</w:t>
            </w:r>
          </w:p>
        </w:tc>
        <w:tc>
          <w:tcPr>
            <w:tcW w:w="7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val="0"/>
                <w:bCs w:val="0"/>
                <w:sz w:val="18"/>
                <w:szCs w:val="18"/>
              </w:rPr>
              <w:t>162.3</w:t>
            </w:r>
          </w:p>
        </w:tc>
        <w:tc>
          <w:tcPr>
            <w:tcW w:w="7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val="0"/>
                <w:bCs w:val="0"/>
                <w:sz w:val="18"/>
                <w:szCs w:val="18"/>
              </w:rPr>
              <w:t>28.7</w:t>
            </w:r>
          </w:p>
        </w:tc>
        <w:tc>
          <w:tcPr>
            <w:tcW w:w="7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val="0"/>
                <w:bCs w:val="0"/>
                <w:sz w:val="18"/>
                <w:szCs w:val="18"/>
              </w:rPr>
              <w:t>17.7%</w:t>
            </w:r>
          </w:p>
        </w:tc>
        <w:tc>
          <w:tcPr>
            <w:tcW w:w="7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val="0"/>
                <w:bCs w:val="0"/>
                <w:sz w:val="18"/>
                <w:szCs w:val="18"/>
              </w:rPr>
              <w:t>133.6</w:t>
            </w:r>
          </w:p>
        </w:tc>
        <w:tc>
          <w:tcPr>
            <w:tcW w:w="7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val="0"/>
                <w:bCs w:val="0"/>
                <w:sz w:val="18"/>
                <w:szCs w:val="18"/>
              </w:rPr>
              <w:t>0.0</w:t>
            </w:r>
          </w:p>
        </w:tc>
        <w:tc>
          <w:tcPr>
            <w:tcW w:w="247"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val="0"/>
                <w:bCs w:val="0"/>
                <w:sz w:val="18"/>
                <w:szCs w:val="18"/>
              </w:rPr>
              <w:t>162.3</w:t>
            </w:r>
          </w:p>
        </w:tc>
      </w:tr>
      <w:tr>
        <w:trPr/>
        <w:tc>
          <w:tcPr>
            <w:tcW w:w="3102"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val="0"/>
                <w:bCs w:val="0"/>
                <w:sz w:val="18"/>
                <w:szCs w:val="18"/>
              </w:rPr>
              <w:t>국민체육센터 건립(생활밀착형)(전환2-2)</w:t>
            </w:r>
          </w:p>
        </w:tc>
        <w:tc>
          <w:tcPr>
            <w:tcW w:w="1034"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val="0"/>
                <w:bCs w:val="0"/>
                <w:sz w:val="18"/>
                <w:szCs w:val="18"/>
              </w:rPr>
              <w:t>일반회계</w:t>
            </w:r>
          </w:p>
        </w:tc>
        <w:tc>
          <w:tcPr>
            <w:tcW w:w="905"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val="0"/>
                <w:bCs w:val="0"/>
                <w:sz w:val="18"/>
                <w:szCs w:val="18"/>
              </w:rPr>
              <w:t>체육시설과</w:t>
            </w:r>
          </w:p>
        </w:tc>
        <w:tc>
          <w:tcPr>
            <w:tcW w:w="7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val="0"/>
                <w:bCs w:val="0"/>
                <w:sz w:val="18"/>
                <w:szCs w:val="18"/>
              </w:rPr>
              <w:t>111.3</w:t>
            </w:r>
          </w:p>
        </w:tc>
        <w:tc>
          <w:tcPr>
            <w:tcW w:w="7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val="0"/>
                <w:bCs w:val="0"/>
                <w:sz w:val="18"/>
                <w:szCs w:val="18"/>
              </w:rPr>
              <w:t>33.3</w:t>
            </w:r>
          </w:p>
        </w:tc>
        <w:tc>
          <w:tcPr>
            <w:tcW w:w="7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val="0"/>
                <w:bCs w:val="0"/>
                <w:sz w:val="18"/>
                <w:szCs w:val="18"/>
              </w:rPr>
              <w:t>29.9%</w:t>
            </w:r>
          </w:p>
        </w:tc>
        <w:tc>
          <w:tcPr>
            <w:tcW w:w="7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val="0"/>
                <w:bCs w:val="0"/>
                <w:sz w:val="18"/>
                <w:szCs w:val="18"/>
              </w:rPr>
              <w:t>78.0</w:t>
            </w:r>
          </w:p>
        </w:tc>
        <w:tc>
          <w:tcPr>
            <w:tcW w:w="7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val="0"/>
                <w:bCs w:val="0"/>
                <w:sz w:val="18"/>
                <w:szCs w:val="18"/>
              </w:rPr>
              <w:t>9.7</w:t>
            </w:r>
          </w:p>
        </w:tc>
        <w:tc>
          <w:tcPr>
            <w:tcW w:w="247"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val="0"/>
                <w:bCs w:val="0"/>
                <w:sz w:val="18"/>
                <w:szCs w:val="18"/>
              </w:rPr>
              <w:t>101.6</w:t>
            </w:r>
          </w:p>
        </w:tc>
      </w:tr>
      <w:tr>
        <w:trPr/>
        <w:tc>
          <w:tcPr>
            <w:tcW w:w="3102"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val="0"/>
                <w:bCs w:val="0"/>
                <w:sz w:val="18"/>
                <w:szCs w:val="18"/>
              </w:rPr>
              <w:t>대전산업단지 재생사업 주차장 조성공사</w:t>
            </w:r>
          </w:p>
        </w:tc>
        <w:tc>
          <w:tcPr>
            <w:tcW w:w="1034"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val="0"/>
                <w:bCs w:val="0"/>
                <w:sz w:val="18"/>
                <w:szCs w:val="18"/>
              </w:rPr>
              <w:t>산업단지특별회계</w:t>
            </w:r>
          </w:p>
        </w:tc>
        <w:tc>
          <w:tcPr>
            <w:tcW w:w="905"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val="0"/>
                <w:bCs w:val="0"/>
                <w:sz w:val="18"/>
                <w:szCs w:val="18"/>
              </w:rPr>
              <w:t>산업입지과</w:t>
            </w:r>
          </w:p>
        </w:tc>
        <w:tc>
          <w:tcPr>
            <w:tcW w:w="7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val="0"/>
                <w:bCs w:val="0"/>
                <w:sz w:val="18"/>
                <w:szCs w:val="18"/>
              </w:rPr>
              <w:t>61.4</w:t>
            </w:r>
          </w:p>
        </w:tc>
        <w:tc>
          <w:tcPr>
            <w:tcW w:w="7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val="0"/>
                <w:bCs w:val="0"/>
                <w:sz w:val="18"/>
                <w:szCs w:val="18"/>
              </w:rPr>
              <w:t>18.5</w:t>
            </w:r>
          </w:p>
        </w:tc>
        <w:tc>
          <w:tcPr>
            <w:tcW w:w="7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val="0"/>
                <w:bCs w:val="0"/>
                <w:sz w:val="18"/>
                <w:szCs w:val="18"/>
              </w:rPr>
              <w:t>30.1%</w:t>
            </w:r>
          </w:p>
        </w:tc>
        <w:tc>
          <w:tcPr>
            <w:tcW w:w="7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val="0"/>
                <w:bCs w:val="0"/>
                <w:sz w:val="18"/>
                <w:szCs w:val="18"/>
              </w:rPr>
              <w:t>43.0</w:t>
            </w:r>
          </w:p>
        </w:tc>
        <w:tc>
          <w:tcPr>
            <w:tcW w:w="7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val="0"/>
                <w:bCs w:val="0"/>
                <w:sz w:val="18"/>
                <w:szCs w:val="18"/>
              </w:rPr>
              <w:t>0.0</w:t>
            </w:r>
          </w:p>
        </w:tc>
        <w:tc>
          <w:tcPr>
            <w:tcW w:w="247"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val="0"/>
                <w:bCs w:val="0"/>
                <w:sz w:val="18"/>
                <w:szCs w:val="18"/>
              </w:rPr>
              <w:t>61.4</w:t>
            </w:r>
          </w:p>
        </w:tc>
      </w:tr>
      <w:tr>
        <w:trPr/>
        <w:tc>
          <w:tcPr>
            <w:tcW w:w="3102"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val="0"/>
                <w:bCs w:val="0"/>
                <w:sz w:val="18"/>
                <w:szCs w:val="18"/>
              </w:rPr>
              <w:t>대전산업단지 완충저류시설 설치</w:t>
            </w:r>
          </w:p>
        </w:tc>
        <w:tc>
          <w:tcPr>
            <w:tcW w:w="1034"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val="0"/>
                <w:bCs w:val="0"/>
                <w:sz w:val="18"/>
                <w:szCs w:val="18"/>
              </w:rPr>
              <w:t>일반회계</w:t>
            </w:r>
          </w:p>
        </w:tc>
        <w:tc>
          <w:tcPr>
            <w:tcW w:w="905"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val="0"/>
                <w:bCs w:val="0"/>
                <w:sz w:val="18"/>
                <w:szCs w:val="18"/>
              </w:rPr>
              <w:t>생태하천과</w:t>
            </w:r>
          </w:p>
        </w:tc>
        <w:tc>
          <w:tcPr>
            <w:tcW w:w="7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val="0"/>
                <w:bCs w:val="0"/>
                <w:sz w:val="18"/>
                <w:szCs w:val="18"/>
              </w:rPr>
              <w:t>164.9</w:t>
            </w:r>
          </w:p>
        </w:tc>
        <w:tc>
          <w:tcPr>
            <w:tcW w:w="7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val="0"/>
                <w:bCs w:val="0"/>
                <w:sz w:val="18"/>
                <w:szCs w:val="18"/>
              </w:rPr>
              <w:t>65.8</w:t>
            </w:r>
          </w:p>
        </w:tc>
        <w:tc>
          <w:tcPr>
            <w:tcW w:w="7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val="0"/>
                <w:bCs w:val="0"/>
                <w:sz w:val="18"/>
                <w:szCs w:val="18"/>
              </w:rPr>
              <w:t>39.9%</w:t>
            </w:r>
          </w:p>
        </w:tc>
        <w:tc>
          <w:tcPr>
            <w:tcW w:w="7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val="0"/>
                <w:bCs w:val="0"/>
                <w:sz w:val="18"/>
                <w:szCs w:val="18"/>
              </w:rPr>
              <w:t>99.1</w:t>
            </w:r>
          </w:p>
        </w:tc>
        <w:tc>
          <w:tcPr>
            <w:tcW w:w="7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val="0"/>
                <w:bCs w:val="0"/>
                <w:sz w:val="18"/>
                <w:szCs w:val="18"/>
              </w:rPr>
              <w:t>117.0</w:t>
            </w:r>
          </w:p>
        </w:tc>
        <w:tc>
          <w:tcPr>
            <w:tcW w:w="247"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val="0"/>
                <w:bCs w:val="0"/>
                <w:sz w:val="18"/>
                <w:szCs w:val="18"/>
              </w:rPr>
              <w:t>47.9</w:t>
            </w:r>
          </w:p>
        </w:tc>
      </w:tr>
      <w:tr>
        <w:trPr/>
        <w:tc>
          <w:tcPr>
            <w:tcW w:w="3102"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val="0"/>
                <w:bCs w:val="0"/>
                <w:sz w:val="18"/>
                <w:szCs w:val="18"/>
              </w:rPr>
              <w:t>대전추모공원 제4봉안당 건립사업</w:t>
            </w:r>
          </w:p>
        </w:tc>
        <w:tc>
          <w:tcPr>
            <w:tcW w:w="1034"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val="0"/>
                <w:bCs w:val="0"/>
                <w:sz w:val="18"/>
                <w:szCs w:val="18"/>
              </w:rPr>
              <w:t>일반회계</w:t>
            </w:r>
          </w:p>
        </w:tc>
        <w:tc>
          <w:tcPr>
            <w:tcW w:w="905"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val="0"/>
                <w:bCs w:val="0"/>
                <w:sz w:val="18"/>
                <w:szCs w:val="18"/>
              </w:rPr>
              <w:t>노인복지과</w:t>
            </w:r>
          </w:p>
        </w:tc>
        <w:tc>
          <w:tcPr>
            <w:tcW w:w="7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val="0"/>
                <w:bCs w:val="0"/>
                <w:sz w:val="18"/>
                <w:szCs w:val="18"/>
              </w:rPr>
              <w:t>101.8</w:t>
            </w:r>
          </w:p>
        </w:tc>
        <w:tc>
          <w:tcPr>
            <w:tcW w:w="7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val="0"/>
                <w:bCs w:val="0"/>
                <w:sz w:val="18"/>
                <w:szCs w:val="18"/>
              </w:rPr>
              <w:t>41.1</w:t>
            </w:r>
          </w:p>
        </w:tc>
        <w:tc>
          <w:tcPr>
            <w:tcW w:w="7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val="0"/>
                <w:bCs w:val="0"/>
                <w:sz w:val="18"/>
                <w:szCs w:val="18"/>
              </w:rPr>
              <w:t>40.4%</w:t>
            </w:r>
          </w:p>
        </w:tc>
        <w:tc>
          <w:tcPr>
            <w:tcW w:w="7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val="0"/>
                <w:bCs w:val="0"/>
                <w:sz w:val="18"/>
                <w:szCs w:val="18"/>
              </w:rPr>
              <w:t>60.7</w:t>
            </w:r>
          </w:p>
        </w:tc>
        <w:tc>
          <w:tcPr>
            <w:tcW w:w="7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val="0"/>
                <w:bCs w:val="0"/>
                <w:sz w:val="18"/>
                <w:szCs w:val="18"/>
              </w:rPr>
              <w:t>44.9</w:t>
            </w:r>
          </w:p>
        </w:tc>
        <w:tc>
          <w:tcPr>
            <w:tcW w:w="247"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val="0"/>
                <w:bCs w:val="0"/>
                <w:sz w:val="18"/>
                <w:szCs w:val="18"/>
              </w:rPr>
              <w:t>56.9</w:t>
            </w:r>
          </w:p>
        </w:tc>
      </w:tr>
      <w:tr>
        <w:trPr/>
        <w:tc>
          <w:tcPr>
            <w:tcW w:w="3102"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val="0"/>
                <w:bCs w:val="0"/>
                <w:sz w:val="18"/>
                <w:szCs w:val="18"/>
              </w:rPr>
              <w:t>대전역 일원 도시재생뉴딜사업</w:t>
            </w:r>
          </w:p>
        </w:tc>
        <w:tc>
          <w:tcPr>
            <w:tcW w:w="1034"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val="0"/>
                <w:bCs w:val="0"/>
                <w:sz w:val="18"/>
                <w:szCs w:val="18"/>
              </w:rPr>
              <w:t>일반회계</w:t>
            </w:r>
          </w:p>
        </w:tc>
        <w:tc>
          <w:tcPr>
            <w:tcW w:w="905"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val="0"/>
                <w:bCs w:val="0"/>
                <w:sz w:val="18"/>
                <w:szCs w:val="18"/>
              </w:rPr>
              <w:t>도시재생과</w:t>
            </w:r>
          </w:p>
        </w:tc>
        <w:tc>
          <w:tcPr>
            <w:tcW w:w="7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val="0"/>
                <w:bCs w:val="0"/>
                <w:sz w:val="18"/>
                <w:szCs w:val="18"/>
              </w:rPr>
              <w:t>86.0</w:t>
            </w:r>
          </w:p>
        </w:tc>
        <w:tc>
          <w:tcPr>
            <w:tcW w:w="7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val="0"/>
                <w:bCs w:val="0"/>
                <w:sz w:val="18"/>
                <w:szCs w:val="18"/>
              </w:rPr>
              <w:t>34.9</w:t>
            </w:r>
          </w:p>
        </w:tc>
        <w:tc>
          <w:tcPr>
            <w:tcW w:w="7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val="0"/>
                <w:bCs w:val="0"/>
                <w:sz w:val="18"/>
                <w:szCs w:val="18"/>
              </w:rPr>
              <w:t>40.6%</w:t>
            </w:r>
          </w:p>
        </w:tc>
        <w:tc>
          <w:tcPr>
            <w:tcW w:w="7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val="0"/>
                <w:bCs w:val="0"/>
                <w:sz w:val="18"/>
                <w:szCs w:val="18"/>
              </w:rPr>
              <w:t>51.1</w:t>
            </w:r>
          </w:p>
        </w:tc>
        <w:tc>
          <w:tcPr>
            <w:tcW w:w="7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val="0"/>
                <w:bCs w:val="0"/>
                <w:sz w:val="18"/>
                <w:szCs w:val="18"/>
              </w:rPr>
              <w:t>67.8</w:t>
            </w:r>
          </w:p>
        </w:tc>
        <w:tc>
          <w:tcPr>
            <w:tcW w:w="247"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val="0"/>
                <w:bCs w:val="0"/>
                <w:sz w:val="18"/>
                <w:szCs w:val="18"/>
              </w:rPr>
              <w:t>18.2</w:t>
            </w:r>
          </w:p>
        </w:tc>
      </w:tr>
      <w:tr>
        <w:trPr/>
        <w:tc>
          <w:tcPr>
            <w:tcW w:w="3102"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val="0"/>
                <w:bCs w:val="0"/>
                <w:sz w:val="18"/>
                <w:szCs w:val="18"/>
              </w:rPr>
              <w:t>지방하천 정비사업(전환사업)</w:t>
            </w:r>
          </w:p>
        </w:tc>
        <w:tc>
          <w:tcPr>
            <w:tcW w:w="1034"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val="0"/>
                <w:bCs w:val="0"/>
                <w:sz w:val="18"/>
                <w:szCs w:val="18"/>
              </w:rPr>
              <w:t>일반회계</w:t>
            </w:r>
          </w:p>
        </w:tc>
        <w:tc>
          <w:tcPr>
            <w:tcW w:w="905"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val="0"/>
                <w:bCs w:val="0"/>
                <w:sz w:val="18"/>
                <w:szCs w:val="18"/>
              </w:rPr>
              <w:t>생태하천과</w:t>
            </w:r>
          </w:p>
        </w:tc>
        <w:tc>
          <w:tcPr>
            <w:tcW w:w="7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val="0"/>
                <w:bCs w:val="0"/>
                <w:sz w:val="18"/>
                <w:szCs w:val="18"/>
              </w:rPr>
              <w:t>63.6</w:t>
            </w:r>
          </w:p>
        </w:tc>
        <w:tc>
          <w:tcPr>
            <w:tcW w:w="7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val="0"/>
                <w:bCs w:val="0"/>
                <w:sz w:val="18"/>
                <w:szCs w:val="18"/>
              </w:rPr>
              <w:t>27.9</w:t>
            </w:r>
          </w:p>
        </w:tc>
        <w:tc>
          <w:tcPr>
            <w:tcW w:w="7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val="0"/>
                <w:bCs w:val="0"/>
                <w:sz w:val="18"/>
                <w:szCs w:val="18"/>
              </w:rPr>
              <w:t>43.9%</w:t>
            </w:r>
          </w:p>
        </w:tc>
        <w:tc>
          <w:tcPr>
            <w:tcW w:w="7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val="0"/>
                <w:bCs w:val="0"/>
                <w:sz w:val="18"/>
                <w:szCs w:val="18"/>
              </w:rPr>
              <w:t>35.7</w:t>
            </w:r>
          </w:p>
        </w:tc>
        <w:tc>
          <w:tcPr>
            <w:tcW w:w="7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val="0"/>
                <w:bCs w:val="0"/>
                <w:sz w:val="18"/>
                <w:szCs w:val="18"/>
              </w:rPr>
              <w:t>0.0</w:t>
            </w:r>
          </w:p>
        </w:tc>
        <w:tc>
          <w:tcPr>
            <w:tcW w:w="247"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val="0"/>
                <w:bCs w:val="0"/>
                <w:sz w:val="18"/>
                <w:szCs w:val="18"/>
              </w:rPr>
              <w:t>63.6</w:t>
            </w:r>
          </w:p>
        </w:tc>
      </w:tr>
      <w:tr>
        <w:trPr/>
        <w:tc>
          <w:tcPr>
            <w:tcW w:w="3102"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val="0"/>
                <w:bCs w:val="0"/>
                <w:sz w:val="18"/>
                <w:szCs w:val="18"/>
              </w:rPr>
              <w:t>제2대전문학관 건립</w:t>
            </w:r>
          </w:p>
        </w:tc>
        <w:tc>
          <w:tcPr>
            <w:tcW w:w="1034"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val="0"/>
                <w:bCs w:val="0"/>
                <w:sz w:val="18"/>
                <w:szCs w:val="18"/>
              </w:rPr>
              <w:t>일반회계</w:t>
            </w:r>
          </w:p>
        </w:tc>
        <w:tc>
          <w:tcPr>
            <w:tcW w:w="905"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val="0"/>
                <w:bCs w:val="0"/>
                <w:sz w:val="18"/>
                <w:szCs w:val="18"/>
              </w:rPr>
              <w:t>문화유산과</w:t>
            </w:r>
          </w:p>
        </w:tc>
        <w:tc>
          <w:tcPr>
            <w:tcW w:w="7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val="0"/>
                <w:bCs w:val="0"/>
                <w:sz w:val="18"/>
                <w:szCs w:val="18"/>
              </w:rPr>
              <w:t>77.7</w:t>
            </w:r>
          </w:p>
        </w:tc>
        <w:tc>
          <w:tcPr>
            <w:tcW w:w="7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val="0"/>
                <w:bCs w:val="0"/>
                <w:sz w:val="18"/>
                <w:szCs w:val="18"/>
              </w:rPr>
              <w:t>36.4</w:t>
            </w:r>
          </w:p>
        </w:tc>
        <w:tc>
          <w:tcPr>
            <w:tcW w:w="7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val="0"/>
                <w:bCs w:val="0"/>
                <w:sz w:val="18"/>
                <w:szCs w:val="18"/>
              </w:rPr>
              <w:t>46.9%</w:t>
            </w:r>
          </w:p>
        </w:tc>
        <w:tc>
          <w:tcPr>
            <w:tcW w:w="7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val="0"/>
                <w:bCs w:val="0"/>
                <w:sz w:val="18"/>
                <w:szCs w:val="18"/>
              </w:rPr>
              <w:t>41.3</w:t>
            </w:r>
          </w:p>
        </w:tc>
        <w:tc>
          <w:tcPr>
            <w:tcW w:w="7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val="0"/>
                <w:bCs w:val="0"/>
                <w:sz w:val="18"/>
                <w:szCs w:val="18"/>
              </w:rPr>
              <w:t>0.0</w:t>
            </w:r>
          </w:p>
        </w:tc>
        <w:tc>
          <w:tcPr>
            <w:tcW w:w="247"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val="0"/>
                <w:bCs w:val="0"/>
                <w:sz w:val="18"/>
                <w:szCs w:val="18"/>
              </w:rPr>
              <w:t>77.7</w:t>
            </w:r>
          </w:p>
        </w:tc>
      </w:tr>
      <w:tr>
        <w:trPr/>
        <w:tc>
          <w:tcPr>
            <w:tcW w:w="3102"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val="0"/>
                <w:bCs w:val="0"/>
                <w:sz w:val="18"/>
                <w:szCs w:val="18"/>
              </w:rPr>
              <w:t>유성대로 연결도로(2구간) 개설</w:t>
            </w:r>
          </w:p>
        </w:tc>
        <w:tc>
          <w:tcPr>
            <w:tcW w:w="1034"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val="0"/>
                <w:bCs w:val="0"/>
                <w:sz w:val="18"/>
                <w:szCs w:val="18"/>
              </w:rPr>
              <w:t>일반회계</w:t>
            </w:r>
          </w:p>
        </w:tc>
        <w:tc>
          <w:tcPr>
            <w:tcW w:w="905"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val="0"/>
                <w:bCs w:val="0"/>
                <w:sz w:val="18"/>
                <w:szCs w:val="18"/>
              </w:rPr>
              <w:t>건설도로과</w:t>
            </w:r>
          </w:p>
        </w:tc>
        <w:tc>
          <w:tcPr>
            <w:tcW w:w="7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val="0"/>
                <w:bCs w:val="0"/>
                <w:sz w:val="18"/>
                <w:szCs w:val="18"/>
              </w:rPr>
              <w:t>58.9</w:t>
            </w:r>
          </w:p>
        </w:tc>
        <w:tc>
          <w:tcPr>
            <w:tcW w:w="7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val="0"/>
                <w:bCs w:val="0"/>
                <w:sz w:val="18"/>
                <w:szCs w:val="18"/>
              </w:rPr>
              <w:t>28.3</w:t>
            </w:r>
          </w:p>
        </w:tc>
        <w:tc>
          <w:tcPr>
            <w:tcW w:w="7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val="0"/>
                <w:bCs w:val="0"/>
                <w:sz w:val="18"/>
                <w:szCs w:val="18"/>
              </w:rPr>
              <w:t>48.0%</w:t>
            </w:r>
          </w:p>
        </w:tc>
        <w:tc>
          <w:tcPr>
            <w:tcW w:w="7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val="0"/>
                <w:bCs w:val="0"/>
                <w:sz w:val="18"/>
                <w:szCs w:val="18"/>
              </w:rPr>
              <w:t>30.6</w:t>
            </w:r>
          </w:p>
        </w:tc>
        <w:tc>
          <w:tcPr>
            <w:tcW w:w="7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val="0"/>
                <w:bCs w:val="0"/>
                <w:sz w:val="18"/>
                <w:szCs w:val="18"/>
              </w:rPr>
              <w:t>0.0</w:t>
            </w:r>
          </w:p>
        </w:tc>
        <w:tc>
          <w:tcPr>
            <w:tcW w:w="247"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val="0"/>
                <w:bCs w:val="0"/>
                <w:sz w:val="18"/>
                <w:szCs w:val="18"/>
              </w:rPr>
              <w:t>58.9</w:t>
            </w:r>
          </w:p>
        </w:tc>
      </w:tr>
      <w:tr>
        <w:trPr/>
        <w:tc>
          <w:tcPr>
            <w:tcW w:w="3102"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val="0"/>
                <w:bCs w:val="0"/>
                <w:sz w:val="18"/>
                <w:szCs w:val="18"/>
              </w:rPr>
              <w:t>평촌일반산업단지 공업용수도 건설(전환사업)</w:t>
            </w:r>
          </w:p>
        </w:tc>
        <w:tc>
          <w:tcPr>
            <w:tcW w:w="1034"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val="0"/>
                <w:bCs w:val="0"/>
                <w:sz w:val="18"/>
                <w:szCs w:val="18"/>
              </w:rPr>
              <w:t>산업단지특별회계</w:t>
            </w:r>
          </w:p>
        </w:tc>
        <w:tc>
          <w:tcPr>
            <w:tcW w:w="905"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val="0"/>
                <w:bCs w:val="0"/>
                <w:sz w:val="18"/>
                <w:szCs w:val="18"/>
              </w:rPr>
              <w:t>산업입지과</w:t>
            </w:r>
          </w:p>
        </w:tc>
        <w:tc>
          <w:tcPr>
            <w:tcW w:w="7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val="0"/>
                <w:bCs w:val="0"/>
                <w:sz w:val="18"/>
                <w:szCs w:val="18"/>
              </w:rPr>
              <w:t>79.6</w:t>
            </w:r>
          </w:p>
        </w:tc>
        <w:tc>
          <w:tcPr>
            <w:tcW w:w="7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val="0"/>
                <w:bCs w:val="0"/>
                <w:sz w:val="18"/>
                <w:szCs w:val="18"/>
              </w:rPr>
              <w:t>40.3</w:t>
            </w:r>
          </w:p>
        </w:tc>
        <w:tc>
          <w:tcPr>
            <w:tcW w:w="7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val="0"/>
                <w:bCs w:val="0"/>
                <w:sz w:val="18"/>
                <w:szCs w:val="18"/>
              </w:rPr>
              <w:t>50.6%</w:t>
            </w:r>
          </w:p>
        </w:tc>
        <w:tc>
          <w:tcPr>
            <w:tcW w:w="7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val="0"/>
                <w:bCs w:val="0"/>
                <w:sz w:val="18"/>
                <w:szCs w:val="18"/>
              </w:rPr>
              <w:t>39.3</w:t>
            </w:r>
          </w:p>
        </w:tc>
        <w:tc>
          <w:tcPr>
            <w:tcW w:w="7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val="0"/>
                <w:bCs w:val="0"/>
                <w:sz w:val="18"/>
                <w:szCs w:val="18"/>
              </w:rPr>
              <w:t>0.0</w:t>
            </w:r>
          </w:p>
        </w:tc>
        <w:tc>
          <w:tcPr>
            <w:tcW w:w="247"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val="0"/>
                <w:bCs w:val="0"/>
                <w:sz w:val="18"/>
                <w:szCs w:val="18"/>
              </w:rPr>
              <w:t>79.6</w:t>
            </w:r>
          </w:p>
        </w:tc>
      </w:tr>
      <w:tr>
        <w:trPr/>
        <w:tc>
          <w:tcPr>
            <w:tcW w:w="3102"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val="0"/>
                <w:bCs w:val="0"/>
                <w:sz w:val="18"/>
                <w:szCs w:val="18"/>
              </w:rPr>
              <w:t>외삼~유성복합터미널 도로 건설</w:t>
            </w:r>
          </w:p>
        </w:tc>
        <w:tc>
          <w:tcPr>
            <w:tcW w:w="1034"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val="0"/>
                <w:bCs w:val="0"/>
                <w:sz w:val="18"/>
                <w:szCs w:val="18"/>
              </w:rPr>
              <w:t>일반회계</w:t>
            </w:r>
          </w:p>
        </w:tc>
        <w:tc>
          <w:tcPr>
            <w:tcW w:w="905"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val="0"/>
                <w:bCs w:val="0"/>
                <w:sz w:val="18"/>
                <w:szCs w:val="18"/>
              </w:rPr>
              <w:t>교통시설과</w:t>
            </w:r>
          </w:p>
        </w:tc>
        <w:tc>
          <w:tcPr>
            <w:tcW w:w="7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val="0"/>
                <w:bCs w:val="0"/>
                <w:sz w:val="18"/>
                <w:szCs w:val="18"/>
              </w:rPr>
              <w:t>113.3</w:t>
            </w:r>
          </w:p>
        </w:tc>
        <w:tc>
          <w:tcPr>
            <w:tcW w:w="7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val="0"/>
                <w:bCs w:val="0"/>
                <w:sz w:val="18"/>
                <w:szCs w:val="18"/>
              </w:rPr>
              <w:t>57.9</w:t>
            </w:r>
          </w:p>
        </w:tc>
        <w:tc>
          <w:tcPr>
            <w:tcW w:w="7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val="0"/>
                <w:bCs w:val="0"/>
                <w:sz w:val="18"/>
                <w:szCs w:val="18"/>
              </w:rPr>
              <w:t>51.1%</w:t>
            </w:r>
          </w:p>
        </w:tc>
        <w:tc>
          <w:tcPr>
            <w:tcW w:w="7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val="0"/>
                <w:bCs w:val="0"/>
                <w:sz w:val="18"/>
                <w:szCs w:val="18"/>
              </w:rPr>
              <w:t>55.3</w:t>
            </w:r>
          </w:p>
        </w:tc>
        <w:tc>
          <w:tcPr>
            <w:tcW w:w="7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val="0"/>
                <w:bCs w:val="0"/>
                <w:sz w:val="18"/>
                <w:szCs w:val="18"/>
              </w:rPr>
              <w:t>32.2</w:t>
            </w:r>
          </w:p>
        </w:tc>
        <w:tc>
          <w:tcPr>
            <w:tcW w:w="247"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val="0"/>
                <w:bCs w:val="0"/>
                <w:sz w:val="18"/>
                <w:szCs w:val="18"/>
              </w:rPr>
              <w:t>81.0</w:t>
            </w:r>
          </w:p>
        </w:tc>
      </w:tr>
      <w:tr>
        <w:trPr/>
        <w:tc>
          <w:tcPr>
            <w:tcW w:w="3102"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val="0"/>
                <w:bCs w:val="0"/>
                <w:sz w:val="18"/>
                <w:szCs w:val="18"/>
              </w:rPr>
              <w:t>기후대응도시숲(직접)</w:t>
            </w:r>
          </w:p>
        </w:tc>
        <w:tc>
          <w:tcPr>
            <w:tcW w:w="1034"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val="0"/>
                <w:bCs w:val="0"/>
                <w:sz w:val="18"/>
                <w:szCs w:val="18"/>
              </w:rPr>
              <w:t>일반회계</w:t>
            </w:r>
          </w:p>
        </w:tc>
        <w:tc>
          <w:tcPr>
            <w:tcW w:w="905"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val="0"/>
                <w:bCs w:val="0"/>
                <w:sz w:val="18"/>
                <w:szCs w:val="18"/>
              </w:rPr>
              <w:t>확인 불가</w:t>
            </w:r>
          </w:p>
        </w:tc>
        <w:tc>
          <w:tcPr>
            <w:tcW w:w="7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val="0"/>
                <w:bCs w:val="0"/>
                <w:sz w:val="18"/>
                <w:szCs w:val="18"/>
              </w:rPr>
              <w:t>74.2</w:t>
            </w:r>
          </w:p>
        </w:tc>
        <w:tc>
          <w:tcPr>
            <w:tcW w:w="7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val="0"/>
                <w:bCs w:val="0"/>
                <w:sz w:val="18"/>
                <w:szCs w:val="18"/>
              </w:rPr>
              <w:t>38.7</w:t>
            </w:r>
          </w:p>
        </w:tc>
        <w:tc>
          <w:tcPr>
            <w:tcW w:w="7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val="0"/>
                <w:bCs w:val="0"/>
                <w:sz w:val="18"/>
                <w:szCs w:val="18"/>
              </w:rPr>
              <w:t>52.1%</w:t>
            </w:r>
          </w:p>
        </w:tc>
        <w:tc>
          <w:tcPr>
            <w:tcW w:w="7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val="0"/>
                <w:bCs w:val="0"/>
                <w:sz w:val="18"/>
                <w:szCs w:val="18"/>
              </w:rPr>
              <w:t>35.5</w:t>
            </w:r>
          </w:p>
        </w:tc>
        <w:tc>
          <w:tcPr>
            <w:tcW w:w="7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val="0"/>
                <w:bCs w:val="0"/>
                <w:sz w:val="18"/>
                <w:szCs w:val="18"/>
              </w:rPr>
              <w:t>37.1</w:t>
            </w:r>
          </w:p>
        </w:tc>
        <w:tc>
          <w:tcPr>
            <w:tcW w:w="247"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val="0"/>
                <w:bCs w:val="0"/>
                <w:sz w:val="18"/>
                <w:szCs w:val="18"/>
              </w:rPr>
              <w:t>37.1</w:t>
            </w:r>
          </w:p>
        </w:tc>
      </w:tr>
      <w:tr>
        <w:trPr/>
        <w:tc>
          <w:tcPr>
            <w:tcW w:w="3102"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val="0"/>
                <w:bCs w:val="0"/>
                <w:sz w:val="18"/>
                <w:szCs w:val="18"/>
              </w:rPr>
              <w:t>기후대응도시숲 조성</w:t>
            </w:r>
          </w:p>
        </w:tc>
        <w:tc>
          <w:tcPr>
            <w:tcW w:w="1034"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val="0"/>
                <w:bCs w:val="0"/>
                <w:sz w:val="18"/>
                <w:szCs w:val="18"/>
              </w:rPr>
              <w:t>일반회계</w:t>
            </w:r>
          </w:p>
        </w:tc>
        <w:tc>
          <w:tcPr>
            <w:tcW w:w="905"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val="0"/>
                <w:bCs w:val="0"/>
                <w:sz w:val="18"/>
                <w:szCs w:val="18"/>
              </w:rPr>
              <w:t>확인 불가</w:t>
            </w:r>
          </w:p>
        </w:tc>
        <w:tc>
          <w:tcPr>
            <w:tcW w:w="7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val="0"/>
                <w:bCs w:val="0"/>
                <w:sz w:val="18"/>
                <w:szCs w:val="18"/>
              </w:rPr>
              <w:t>61.5</w:t>
            </w:r>
          </w:p>
        </w:tc>
        <w:tc>
          <w:tcPr>
            <w:tcW w:w="7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val="0"/>
                <w:bCs w:val="0"/>
                <w:sz w:val="18"/>
                <w:szCs w:val="18"/>
              </w:rPr>
              <w:t>33.9</w:t>
            </w:r>
          </w:p>
        </w:tc>
        <w:tc>
          <w:tcPr>
            <w:tcW w:w="7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val="0"/>
                <w:bCs w:val="0"/>
                <w:sz w:val="18"/>
                <w:szCs w:val="18"/>
              </w:rPr>
              <w:t>55.0%</w:t>
            </w:r>
          </w:p>
        </w:tc>
        <w:tc>
          <w:tcPr>
            <w:tcW w:w="7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val="0"/>
                <w:bCs w:val="0"/>
                <w:sz w:val="18"/>
                <w:szCs w:val="18"/>
              </w:rPr>
              <w:t>27.7</w:t>
            </w:r>
          </w:p>
        </w:tc>
        <w:tc>
          <w:tcPr>
            <w:tcW w:w="7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val="0"/>
                <w:bCs w:val="0"/>
                <w:sz w:val="18"/>
                <w:szCs w:val="18"/>
              </w:rPr>
              <w:t>30.8</w:t>
            </w:r>
          </w:p>
        </w:tc>
        <w:tc>
          <w:tcPr>
            <w:tcW w:w="247"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val="0"/>
                <w:bCs w:val="0"/>
                <w:sz w:val="18"/>
                <w:szCs w:val="18"/>
              </w:rPr>
              <w:t>30.8</w:t>
            </w:r>
          </w:p>
        </w:tc>
      </w:tr>
    </w:tbl>
    <w:p>
      <w:pPr>
        <w:spacing w:after="0"/>
      </w:pPr>
    </w:p>
    <w:p>
      <w:pPr>
        <w:jc w:val="left"/>
        <w:spacing w:after="120" w:before="0" w:line="384" w:lineRule="auto"/>
      </w:pPr>
      <w:r>
        <w:rPr>
          <w:rFonts w:ascii="Arial" w:eastAsia="맑은 고딕" w:hAnsi="Arial"/>
          <w:b w:val="0"/>
          <w:bCs w:val="0"/>
          <w:sz w:val="16"/>
          <w:szCs w:val="16"/>
        </w:rPr>
        <w:t>출처: 지방재정365 세부사업별 세출결산(대전본청, 2025년). 소관부서는 결산서 첨부서류 「(8) 주요사업 추진현황」(인쇄 121쪽 이하)의 주관부서 열에서 확인했다. 지하차도 진입차단시설 1건은 이 표에 없어 성질별 결산 목별조서에서 확인했고, 3건(보문산 수목원·기후대응도시숲 2건)은 어느 표에도 부서가 명시되지 않아 '확인 불가'로 두었다. 부서명은 2025년 결산서상 조직 기준으로, 2026년 조직 개편 전 명칭이다.</w:t>
      </w:r>
    </w:p>
    <w:p>
      <w:pPr>
        <w:jc w:val="left"/>
        <w:spacing w:after="140" w:before="320" w:line="384" w:lineRule="auto"/>
      </w:pPr>
      <w:r>
        <w:rPr>
          <w:rFonts w:ascii="Arial" w:eastAsia="맑은 고딕" w:hAnsi="Arial"/>
          <w:b/>
          <w:bCs/>
          <w:sz w:val="26"/>
          <w:szCs w:val="26"/>
        </w:rPr>
        <w:t>첨부 2. 3년 연속(2023~2025) 집행률 70% 미만 사업 (2025년 예산현액 50억 원 이상, 11건)</w:t>
      </w:r>
    </w:p>
    <w:p>
      <w:pPr>
        <w:jc w:val="center"/>
        <w:spacing w:after="60" w:before="160" w:line="384" w:lineRule="auto"/>
      </w:pPr>
      <w:r>
        <w:rPr>
          <w:rFonts w:ascii="Arial" w:eastAsia="맑은 고딕" w:hAnsi="Arial"/>
          <w:b/>
          <w:bCs/>
          <w:sz w:val="20"/>
          <w:szCs w:val="20"/>
        </w:rPr>
        <w:t>&lt;표 18&gt; 3년 연속 저집행 사업 명단 (2025년 집행률 낮은 순, 단위: 억원)</w:t>
      </w:r>
    </w:p>
    <w:tbl>
      <w:tblPr>
        <w:tblW w:w="87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08"/>
        <w:gridCol w:w="1116"/>
        <w:gridCol w:w="700"/>
        <w:gridCol w:w="700"/>
        <w:gridCol w:w="700"/>
        <w:gridCol w:w="1255"/>
        <w:gridCol w:w="1109"/>
      </w:tblGrid>
      <w:tr>
        <w:trPr>
          <w:tblHeader/>
        </w:trPr>
        <w:tc>
          <w:tcPr>
            <w:tcW w:w="3208"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center"/>
              <w:spacing w:after="0" w:line="264" w:lineRule="auto"/>
            </w:pPr>
            <w:r>
              <w:rPr>
                <w:rFonts w:ascii="Arial" w:eastAsia="맑은 고딕" w:hAnsi="Arial"/>
                <w:b/>
                <w:bCs/>
                <w:sz w:val="18"/>
                <w:szCs w:val="18"/>
              </w:rPr>
              <w:t>사업명</w:t>
            </w:r>
          </w:p>
        </w:tc>
        <w:tc>
          <w:tcPr>
            <w:tcW w:w="1116"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center"/>
              <w:spacing w:after="0" w:line="264" w:lineRule="auto"/>
            </w:pPr>
            <w:r>
              <w:rPr>
                <w:rFonts w:ascii="Arial" w:eastAsia="맑은 고딕" w:hAnsi="Arial"/>
                <w:b/>
                <w:bCs/>
                <w:sz w:val="18"/>
                <w:szCs w:val="18"/>
              </w:rPr>
              <w:t>회계</w:t>
            </w:r>
          </w:p>
        </w:tc>
        <w:tc>
          <w:tcPr>
            <w:tcW w:w="7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center"/>
              <w:spacing w:after="0" w:line="264" w:lineRule="auto"/>
            </w:pPr>
            <w:r>
              <w:rPr>
                <w:rFonts w:ascii="Arial" w:eastAsia="맑은 고딕" w:hAnsi="Arial"/>
                <w:b/>
                <w:bCs/>
                <w:sz w:val="18"/>
                <w:szCs w:val="18"/>
              </w:rPr>
              <w:t>2023</w:t>
            </w:r>
          </w:p>
        </w:tc>
        <w:tc>
          <w:tcPr>
            <w:tcW w:w="7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center"/>
              <w:spacing w:after="0" w:line="264" w:lineRule="auto"/>
            </w:pPr>
            <w:r>
              <w:rPr>
                <w:rFonts w:ascii="Arial" w:eastAsia="맑은 고딕" w:hAnsi="Arial"/>
                <w:b/>
                <w:bCs/>
                <w:sz w:val="18"/>
                <w:szCs w:val="18"/>
              </w:rPr>
              <w:t>2024</w:t>
            </w:r>
          </w:p>
        </w:tc>
        <w:tc>
          <w:tcPr>
            <w:tcW w:w="7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center"/>
              <w:spacing w:after="0" w:line="264" w:lineRule="auto"/>
            </w:pPr>
            <w:r>
              <w:rPr>
                <w:rFonts w:ascii="Arial" w:eastAsia="맑은 고딕" w:hAnsi="Arial"/>
                <w:b/>
                <w:bCs/>
                <w:sz w:val="18"/>
                <w:szCs w:val="18"/>
              </w:rPr>
              <w:t>2025</w:t>
            </w:r>
          </w:p>
        </w:tc>
        <w:tc>
          <w:tcPr>
            <w:tcW w:w="1255"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center"/>
              <w:spacing w:after="0" w:line="264" w:lineRule="auto"/>
            </w:pPr>
            <w:r>
              <w:rPr>
                <w:rFonts w:ascii="Arial" w:eastAsia="맑은 고딕" w:hAnsi="Arial"/>
                <w:b/>
                <w:bCs/>
                <w:sz w:val="18"/>
                <w:szCs w:val="18"/>
              </w:rPr>
              <w:t>2025 예산현액</w:t>
            </w:r>
          </w:p>
        </w:tc>
        <w:tc>
          <w:tcPr>
            <w:tcW w:w="1109"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center"/>
              <w:spacing w:after="0" w:line="264" w:lineRule="auto"/>
            </w:pPr>
            <w:r>
              <w:rPr>
                <w:rFonts w:ascii="Arial" w:eastAsia="맑은 고딕" w:hAnsi="Arial"/>
                <w:b/>
                <w:bCs/>
                <w:sz w:val="18"/>
                <w:szCs w:val="18"/>
              </w:rPr>
              <w:t>2025 지출액</w:t>
            </w:r>
          </w:p>
        </w:tc>
      </w:tr>
      <w:tr>
        <w:trPr/>
        <w:tc>
          <w:tcPr>
            <w:tcW w:w="3208"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val="0"/>
                <w:bCs w:val="0"/>
                <w:sz w:val="18"/>
                <w:szCs w:val="18"/>
              </w:rPr>
              <w:t>융복합 특수영상 콘텐츠 클러스터 조성</w:t>
            </w:r>
          </w:p>
        </w:tc>
        <w:tc>
          <w:tcPr>
            <w:tcW w:w="1116"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val="0"/>
                <w:bCs w:val="0"/>
                <w:sz w:val="18"/>
                <w:szCs w:val="18"/>
              </w:rPr>
              <w:t>일반회계</w:t>
            </w:r>
          </w:p>
        </w:tc>
        <w:tc>
          <w:tcPr>
            <w:tcW w:w="7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val="0"/>
                <w:bCs w:val="0"/>
                <w:sz w:val="18"/>
                <w:szCs w:val="18"/>
              </w:rPr>
              <w:t>30.7%</w:t>
            </w:r>
          </w:p>
        </w:tc>
        <w:tc>
          <w:tcPr>
            <w:tcW w:w="7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val="0"/>
                <w:bCs w:val="0"/>
                <w:sz w:val="18"/>
                <w:szCs w:val="18"/>
              </w:rPr>
              <w:t>65.6%</w:t>
            </w:r>
          </w:p>
        </w:tc>
        <w:tc>
          <w:tcPr>
            <w:tcW w:w="7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bCs/>
                <w:sz w:val="18"/>
                <w:szCs w:val="18"/>
              </w:rPr>
              <w:t>6.2%</w:t>
            </w:r>
          </w:p>
        </w:tc>
        <w:tc>
          <w:tcPr>
            <w:tcW w:w="1255"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val="0"/>
                <w:bCs w:val="0"/>
                <w:sz w:val="18"/>
                <w:szCs w:val="18"/>
              </w:rPr>
              <w:t>178.9</w:t>
            </w:r>
          </w:p>
        </w:tc>
        <w:tc>
          <w:tcPr>
            <w:tcW w:w="1109"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val="0"/>
                <w:bCs w:val="0"/>
                <w:sz w:val="18"/>
                <w:szCs w:val="18"/>
              </w:rPr>
              <w:t>11.1</w:t>
            </w:r>
          </w:p>
        </w:tc>
      </w:tr>
      <w:tr>
        <w:trPr/>
        <w:tc>
          <w:tcPr>
            <w:tcW w:w="3208"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val="0"/>
                <w:bCs w:val="0"/>
                <w:sz w:val="18"/>
                <w:szCs w:val="18"/>
              </w:rPr>
              <w:t>국민체육센터건립(근린생활형)(전환2-2)</w:t>
            </w:r>
          </w:p>
        </w:tc>
        <w:tc>
          <w:tcPr>
            <w:tcW w:w="1116"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val="0"/>
                <w:bCs w:val="0"/>
                <w:sz w:val="18"/>
                <w:szCs w:val="18"/>
              </w:rPr>
              <w:t>일반회계</w:t>
            </w:r>
          </w:p>
        </w:tc>
        <w:tc>
          <w:tcPr>
            <w:tcW w:w="7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val="0"/>
                <w:bCs w:val="0"/>
                <w:sz w:val="18"/>
                <w:szCs w:val="18"/>
              </w:rPr>
              <w:t>11.9%</w:t>
            </w:r>
          </w:p>
        </w:tc>
        <w:tc>
          <w:tcPr>
            <w:tcW w:w="7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val="0"/>
                <w:bCs w:val="0"/>
                <w:sz w:val="18"/>
                <w:szCs w:val="18"/>
              </w:rPr>
              <w:t>3.4%</w:t>
            </w:r>
          </w:p>
        </w:tc>
        <w:tc>
          <w:tcPr>
            <w:tcW w:w="7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bCs/>
                <w:sz w:val="18"/>
                <w:szCs w:val="18"/>
              </w:rPr>
              <w:t>17.5%</w:t>
            </w:r>
          </w:p>
        </w:tc>
        <w:tc>
          <w:tcPr>
            <w:tcW w:w="1255"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val="0"/>
                <w:bCs w:val="0"/>
                <w:sz w:val="18"/>
                <w:szCs w:val="18"/>
              </w:rPr>
              <w:t>77.8</w:t>
            </w:r>
          </w:p>
        </w:tc>
        <w:tc>
          <w:tcPr>
            <w:tcW w:w="1109"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val="0"/>
                <w:bCs w:val="0"/>
                <w:sz w:val="18"/>
                <w:szCs w:val="18"/>
              </w:rPr>
              <w:t>13.6</w:t>
            </w:r>
          </w:p>
        </w:tc>
      </w:tr>
      <w:tr>
        <w:trPr/>
        <w:tc>
          <w:tcPr>
            <w:tcW w:w="3208"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val="0"/>
                <w:bCs w:val="0"/>
                <w:sz w:val="18"/>
                <w:szCs w:val="18"/>
              </w:rPr>
              <w:t>국민체육센터 건립(생활밀착형)(전환2-2)</w:t>
            </w:r>
          </w:p>
        </w:tc>
        <w:tc>
          <w:tcPr>
            <w:tcW w:w="1116"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val="0"/>
                <w:bCs w:val="0"/>
                <w:sz w:val="18"/>
                <w:szCs w:val="18"/>
              </w:rPr>
              <w:t>일반회계</w:t>
            </w:r>
          </w:p>
        </w:tc>
        <w:tc>
          <w:tcPr>
            <w:tcW w:w="7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val="0"/>
                <w:bCs w:val="0"/>
                <w:sz w:val="18"/>
                <w:szCs w:val="18"/>
              </w:rPr>
              <w:t>18.2%</w:t>
            </w:r>
          </w:p>
        </w:tc>
        <w:tc>
          <w:tcPr>
            <w:tcW w:w="7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val="0"/>
                <w:bCs w:val="0"/>
                <w:sz w:val="18"/>
                <w:szCs w:val="18"/>
              </w:rPr>
              <w:t>8.9%</w:t>
            </w:r>
          </w:p>
        </w:tc>
        <w:tc>
          <w:tcPr>
            <w:tcW w:w="7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bCs/>
                <w:sz w:val="18"/>
                <w:szCs w:val="18"/>
              </w:rPr>
              <w:t>29.9%</w:t>
            </w:r>
          </w:p>
        </w:tc>
        <w:tc>
          <w:tcPr>
            <w:tcW w:w="1255"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val="0"/>
                <w:bCs w:val="0"/>
                <w:sz w:val="18"/>
                <w:szCs w:val="18"/>
              </w:rPr>
              <w:t>111.3</w:t>
            </w:r>
          </w:p>
        </w:tc>
        <w:tc>
          <w:tcPr>
            <w:tcW w:w="1109"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val="0"/>
                <w:bCs w:val="0"/>
                <w:sz w:val="18"/>
                <w:szCs w:val="18"/>
              </w:rPr>
              <w:t>33.3</w:t>
            </w:r>
          </w:p>
        </w:tc>
      </w:tr>
      <w:tr>
        <w:trPr/>
        <w:tc>
          <w:tcPr>
            <w:tcW w:w="3208"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val="0"/>
                <w:bCs w:val="0"/>
                <w:sz w:val="18"/>
                <w:szCs w:val="18"/>
              </w:rPr>
              <w:t>대전산업단지 재생사업 주차장 조성공사</w:t>
            </w:r>
          </w:p>
        </w:tc>
        <w:tc>
          <w:tcPr>
            <w:tcW w:w="1116"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val="0"/>
                <w:bCs w:val="0"/>
                <w:sz w:val="18"/>
                <w:szCs w:val="18"/>
              </w:rPr>
              <w:t>산업단지특별회계</w:t>
            </w:r>
          </w:p>
        </w:tc>
        <w:tc>
          <w:tcPr>
            <w:tcW w:w="7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val="0"/>
                <w:bCs w:val="0"/>
                <w:sz w:val="18"/>
                <w:szCs w:val="18"/>
              </w:rPr>
              <w:t>66.5%</w:t>
            </w:r>
          </w:p>
        </w:tc>
        <w:tc>
          <w:tcPr>
            <w:tcW w:w="7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val="0"/>
                <w:bCs w:val="0"/>
                <w:sz w:val="18"/>
                <w:szCs w:val="18"/>
              </w:rPr>
              <w:t>25.6%</w:t>
            </w:r>
          </w:p>
        </w:tc>
        <w:tc>
          <w:tcPr>
            <w:tcW w:w="7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bCs/>
                <w:sz w:val="18"/>
                <w:szCs w:val="18"/>
              </w:rPr>
              <w:t>30.1%</w:t>
            </w:r>
          </w:p>
        </w:tc>
        <w:tc>
          <w:tcPr>
            <w:tcW w:w="1255"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val="0"/>
                <w:bCs w:val="0"/>
                <w:sz w:val="18"/>
                <w:szCs w:val="18"/>
              </w:rPr>
              <w:t>61.4</w:t>
            </w:r>
          </w:p>
        </w:tc>
        <w:tc>
          <w:tcPr>
            <w:tcW w:w="1109"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val="0"/>
                <w:bCs w:val="0"/>
                <w:sz w:val="18"/>
                <w:szCs w:val="18"/>
              </w:rPr>
              <w:t>18.5</w:t>
            </w:r>
          </w:p>
        </w:tc>
      </w:tr>
      <w:tr>
        <w:trPr/>
        <w:tc>
          <w:tcPr>
            <w:tcW w:w="3208"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val="0"/>
                <w:bCs w:val="0"/>
                <w:sz w:val="18"/>
                <w:szCs w:val="18"/>
              </w:rPr>
              <w:t>대전산업단지 완충저류시설 설치</w:t>
            </w:r>
          </w:p>
        </w:tc>
        <w:tc>
          <w:tcPr>
            <w:tcW w:w="1116"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val="0"/>
                <w:bCs w:val="0"/>
                <w:sz w:val="18"/>
                <w:szCs w:val="18"/>
              </w:rPr>
              <w:t>일반회계</w:t>
            </w:r>
          </w:p>
        </w:tc>
        <w:tc>
          <w:tcPr>
            <w:tcW w:w="7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val="0"/>
                <w:bCs w:val="0"/>
                <w:sz w:val="18"/>
                <w:szCs w:val="18"/>
              </w:rPr>
              <w:t>42.2%</w:t>
            </w:r>
          </w:p>
        </w:tc>
        <w:tc>
          <w:tcPr>
            <w:tcW w:w="7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val="0"/>
                <w:bCs w:val="0"/>
                <w:sz w:val="18"/>
                <w:szCs w:val="18"/>
              </w:rPr>
              <w:t>65.9%</w:t>
            </w:r>
          </w:p>
        </w:tc>
        <w:tc>
          <w:tcPr>
            <w:tcW w:w="7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bCs/>
                <w:sz w:val="18"/>
                <w:szCs w:val="18"/>
              </w:rPr>
              <w:t>39.9%</w:t>
            </w:r>
          </w:p>
        </w:tc>
        <w:tc>
          <w:tcPr>
            <w:tcW w:w="1255"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val="0"/>
                <w:bCs w:val="0"/>
                <w:sz w:val="18"/>
                <w:szCs w:val="18"/>
              </w:rPr>
              <w:t>164.9</w:t>
            </w:r>
          </w:p>
        </w:tc>
        <w:tc>
          <w:tcPr>
            <w:tcW w:w="1109"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val="0"/>
                <w:bCs w:val="0"/>
                <w:sz w:val="18"/>
                <w:szCs w:val="18"/>
              </w:rPr>
              <w:t>65.8</w:t>
            </w:r>
          </w:p>
        </w:tc>
      </w:tr>
      <w:tr>
        <w:trPr/>
        <w:tc>
          <w:tcPr>
            <w:tcW w:w="3208"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val="0"/>
                <w:bCs w:val="0"/>
                <w:sz w:val="18"/>
                <w:szCs w:val="18"/>
              </w:rPr>
              <w:t>대전추모공원 제4봉안당 건립사업</w:t>
            </w:r>
          </w:p>
        </w:tc>
        <w:tc>
          <w:tcPr>
            <w:tcW w:w="1116"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val="0"/>
                <w:bCs w:val="0"/>
                <w:sz w:val="18"/>
                <w:szCs w:val="18"/>
              </w:rPr>
              <w:t>일반회계</w:t>
            </w:r>
          </w:p>
        </w:tc>
        <w:tc>
          <w:tcPr>
            <w:tcW w:w="7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val="0"/>
                <w:bCs w:val="0"/>
                <w:sz w:val="18"/>
                <w:szCs w:val="18"/>
              </w:rPr>
              <w:t>46.3%</w:t>
            </w:r>
          </w:p>
        </w:tc>
        <w:tc>
          <w:tcPr>
            <w:tcW w:w="7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val="0"/>
                <w:bCs w:val="0"/>
                <w:sz w:val="18"/>
                <w:szCs w:val="18"/>
              </w:rPr>
              <w:t>21.1%</w:t>
            </w:r>
          </w:p>
        </w:tc>
        <w:tc>
          <w:tcPr>
            <w:tcW w:w="7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bCs/>
                <w:sz w:val="18"/>
                <w:szCs w:val="18"/>
              </w:rPr>
              <w:t>40.4%</w:t>
            </w:r>
          </w:p>
        </w:tc>
        <w:tc>
          <w:tcPr>
            <w:tcW w:w="1255"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val="0"/>
                <w:bCs w:val="0"/>
                <w:sz w:val="18"/>
                <w:szCs w:val="18"/>
              </w:rPr>
              <w:t>101.8</w:t>
            </w:r>
          </w:p>
        </w:tc>
        <w:tc>
          <w:tcPr>
            <w:tcW w:w="1109"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val="0"/>
                <w:bCs w:val="0"/>
                <w:sz w:val="18"/>
                <w:szCs w:val="18"/>
              </w:rPr>
              <w:t>41.1</w:t>
            </w:r>
          </w:p>
        </w:tc>
      </w:tr>
      <w:tr>
        <w:trPr/>
        <w:tc>
          <w:tcPr>
            <w:tcW w:w="3208"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val="0"/>
                <w:bCs w:val="0"/>
                <w:sz w:val="18"/>
                <w:szCs w:val="18"/>
              </w:rPr>
              <w:t>대전역 일원 도시재생뉴딜사업</w:t>
            </w:r>
          </w:p>
        </w:tc>
        <w:tc>
          <w:tcPr>
            <w:tcW w:w="1116"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val="0"/>
                <w:bCs w:val="0"/>
                <w:sz w:val="18"/>
                <w:szCs w:val="18"/>
              </w:rPr>
              <w:t>일반회계</w:t>
            </w:r>
          </w:p>
        </w:tc>
        <w:tc>
          <w:tcPr>
            <w:tcW w:w="7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val="0"/>
                <w:bCs w:val="0"/>
                <w:sz w:val="18"/>
                <w:szCs w:val="18"/>
              </w:rPr>
              <w:t>53.8%</w:t>
            </w:r>
          </w:p>
        </w:tc>
        <w:tc>
          <w:tcPr>
            <w:tcW w:w="7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val="0"/>
                <w:bCs w:val="0"/>
                <w:sz w:val="18"/>
                <w:szCs w:val="18"/>
              </w:rPr>
              <w:t>61.6%</w:t>
            </w:r>
          </w:p>
        </w:tc>
        <w:tc>
          <w:tcPr>
            <w:tcW w:w="7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bCs/>
                <w:sz w:val="18"/>
                <w:szCs w:val="18"/>
              </w:rPr>
              <w:t>40.6%</w:t>
            </w:r>
          </w:p>
        </w:tc>
        <w:tc>
          <w:tcPr>
            <w:tcW w:w="1255"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val="0"/>
                <w:bCs w:val="0"/>
                <w:sz w:val="18"/>
                <w:szCs w:val="18"/>
              </w:rPr>
              <w:t>86.0</w:t>
            </w:r>
          </w:p>
        </w:tc>
        <w:tc>
          <w:tcPr>
            <w:tcW w:w="1109"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val="0"/>
                <w:bCs w:val="0"/>
                <w:sz w:val="18"/>
                <w:szCs w:val="18"/>
              </w:rPr>
              <w:t>34.9</w:t>
            </w:r>
          </w:p>
        </w:tc>
      </w:tr>
      <w:tr>
        <w:trPr/>
        <w:tc>
          <w:tcPr>
            <w:tcW w:w="3208"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val="0"/>
                <w:bCs w:val="0"/>
                <w:sz w:val="18"/>
                <w:szCs w:val="18"/>
              </w:rPr>
              <w:t>지방하천 정비사업(전환사업)</w:t>
            </w:r>
          </w:p>
        </w:tc>
        <w:tc>
          <w:tcPr>
            <w:tcW w:w="1116"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val="0"/>
                <w:bCs w:val="0"/>
                <w:sz w:val="18"/>
                <w:szCs w:val="18"/>
              </w:rPr>
              <w:t>일반회계</w:t>
            </w:r>
          </w:p>
        </w:tc>
        <w:tc>
          <w:tcPr>
            <w:tcW w:w="7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val="0"/>
                <w:bCs w:val="0"/>
                <w:sz w:val="18"/>
                <w:szCs w:val="18"/>
              </w:rPr>
              <w:t>65.0%</w:t>
            </w:r>
          </w:p>
        </w:tc>
        <w:tc>
          <w:tcPr>
            <w:tcW w:w="7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val="0"/>
                <w:bCs w:val="0"/>
                <w:sz w:val="18"/>
                <w:szCs w:val="18"/>
              </w:rPr>
              <w:t>33.9%</w:t>
            </w:r>
          </w:p>
        </w:tc>
        <w:tc>
          <w:tcPr>
            <w:tcW w:w="7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bCs/>
                <w:sz w:val="18"/>
                <w:szCs w:val="18"/>
              </w:rPr>
              <w:t>43.9%</w:t>
            </w:r>
          </w:p>
        </w:tc>
        <w:tc>
          <w:tcPr>
            <w:tcW w:w="1255"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val="0"/>
                <w:bCs w:val="0"/>
                <w:sz w:val="18"/>
                <w:szCs w:val="18"/>
              </w:rPr>
              <w:t>63.6</w:t>
            </w:r>
          </w:p>
        </w:tc>
        <w:tc>
          <w:tcPr>
            <w:tcW w:w="1109"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val="0"/>
                <w:bCs w:val="0"/>
                <w:sz w:val="18"/>
                <w:szCs w:val="18"/>
              </w:rPr>
              <w:t>27.9</w:t>
            </w:r>
          </w:p>
        </w:tc>
      </w:tr>
      <w:tr>
        <w:trPr/>
        <w:tc>
          <w:tcPr>
            <w:tcW w:w="3208"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val="0"/>
                <w:bCs w:val="0"/>
                <w:sz w:val="18"/>
                <w:szCs w:val="18"/>
              </w:rPr>
              <w:t>평촌일반산업단지 공업용수도 건설(전환사업)</w:t>
            </w:r>
          </w:p>
        </w:tc>
        <w:tc>
          <w:tcPr>
            <w:tcW w:w="1116"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val="0"/>
                <w:bCs w:val="0"/>
                <w:sz w:val="18"/>
                <w:szCs w:val="18"/>
              </w:rPr>
              <w:t>산업단지특별회계</w:t>
            </w:r>
          </w:p>
        </w:tc>
        <w:tc>
          <w:tcPr>
            <w:tcW w:w="7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val="0"/>
                <w:bCs w:val="0"/>
                <w:sz w:val="18"/>
                <w:szCs w:val="18"/>
              </w:rPr>
              <w:t>42.9%</w:t>
            </w:r>
          </w:p>
        </w:tc>
        <w:tc>
          <w:tcPr>
            <w:tcW w:w="7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val="0"/>
                <w:bCs w:val="0"/>
                <w:sz w:val="18"/>
                <w:szCs w:val="18"/>
              </w:rPr>
              <w:t>41.5%</w:t>
            </w:r>
          </w:p>
        </w:tc>
        <w:tc>
          <w:tcPr>
            <w:tcW w:w="7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bCs/>
                <w:sz w:val="18"/>
                <w:szCs w:val="18"/>
              </w:rPr>
              <w:t>50.6%</w:t>
            </w:r>
          </w:p>
        </w:tc>
        <w:tc>
          <w:tcPr>
            <w:tcW w:w="1255"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val="0"/>
                <w:bCs w:val="0"/>
                <w:sz w:val="18"/>
                <w:szCs w:val="18"/>
              </w:rPr>
              <w:t>79.6</w:t>
            </w:r>
          </w:p>
        </w:tc>
        <w:tc>
          <w:tcPr>
            <w:tcW w:w="1109"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val="0"/>
                <w:bCs w:val="0"/>
                <w:sz w:val="18"/>
                <w:szCs w:val="18"/>
              </w:rPr>
              <w:t>40.3</w:t>
            </w:r>
          </w:p>
        </w:tc>
      </w:tr>
      <w:tr>
        <w:trPr/>
        <w:tc>
          <w:tcPr>
            <w:tcW w:w="3208"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val="0"/>
                <w:bCs w:val="0"/>
                <w:sz w:val="18"/>
                <w:szCs w:val="18"/>
              </w:rPr>
              <w:t>외삼~유성복합터미널 도로 건설</w:t>
            </w:r>
          </w:p>
        </w:tc>
        <w:tc>
          <w:tcPr>
            <w:tcW w:w="1116"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val="0"/>
                <w:bCs w:val="0"/>
                <w:sz w:val="18"/>
                <w:szCs w:val="18"/>
              </w:rPr>
              <w:t>일반회계</w:t>
            </w:r>
          </w:p>
        </w:tc>
        <w:tc>
          <w:tcPr>
            <w:tcW w:w="7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val="0"/>
                <w:bCs w:val="0"/>
                <w:sz w:val="18"/>
                <w:szCs w:val="18"/>
              </w:rPr>
              <w:t>34.2%</w:t>
            </w:r>
          </w:p>
        </w:tc>
        <w:tc>
          <w:tcPr>
            <w:tcW w:w="7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val="0"/>
                <w:bCs w:val="0"/>
                <w:sz w:val="18"/>
                <w:szCs w:val="18"/>
              </w:rPr>
              <w:t>33.0%</w:t>
            </w:r>
          </w:p>
        </w:tc>
        <w:tc>
          <w:tcPr>
            <w:tcW w:w="7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bCs/>
                <w:sz w:val="18"/>
                <w:szCs w:val="18"/>
              </w:rPr>
              <w:t>51.1%</w:t>
            </w:r>
          </w:p>
        </w:tc>
        <w:tc>
          <w:tcPr>
            <w:tcW w:w="1255"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val="0"/>
                <w:bCs w:val="0"/>
                <w:sz w:val="18"/>
                <w:szCs w:val="18"/>
              </w:rPr>
              <w:t>113.3</w:t>
            </w:r>
          </w:p>
        </w:tc>
        <w:tc>
          <w:tcPr>
            <w:tcW w:w="1109"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val="0"/>
                <w:bCs w:val="0"/>
                <w:sz w:val="18"/>
                <w:szCs w:val="18"/>
              </w:rPr>
              <w:t>57.9</w:t>
            </w:r>
          </w:p>
        </w:tc>
      </w:tr>
      <w:tr>
        <w:trPr/>
        <w:tc>
          <w:tcPr>
            <w:tcW w:w="3208"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val="0"/>
                <w:bCs w:val="0"/>
                <w:sz w:val="18"/>
                <w:szCs w:val="18"/>
              </w:rPr>
              <w:t>기후대응도시숲(직접)</w:t>
            </w:r>
          </w:p>
        </w:tc>
        <w:tc>
          <w:tcPr>
            <w:tcW w:w="1116"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val="0"/>
                <w:bCs w:val="0"/>
                <w:sz w:val="18"/>
                <w:szCs w:val="18"/>
              </w:rPr>
              <w:t>일반회계</w:t>
            </w:r>
          </w:p>
        </w:tc>
        <w:tc>
          <w:tcPr>
            <w:tcW w:w="7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val="0"/>
                <w:bCs w:val="0"/>
                <w:sz w:val="18"/>
                <w:szCs w:val="18"/>
              </w:rPr>
              <w:t>28.4%</w:t>
            </w:r>
          </w:p>
        </w:tc>
        <w:tc>
          <w:tcPr>
            <w:tcW w:w="7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val="0"/>
                <w:bCs w:val="0"/>
                <w:sz w:val="18"/>
                <w:szCs w:val="18"/>
              </w:rPr>
              <w:t>57.4%</w:t>
            </w:r>
          </w:p>
        </w:tc>
        <w:tc>
          <w:tcPr>
            <w:tcW w:w="7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bCs/>
                <w:sz w:val="18"/>
                <w:szCs w:val="18"/>
              </w:rPr>
              <w:t>52.1%</w:t>
            </w:r>
          </w:p>
        </w:tc>
        <w:tc>
          <w:tcPr>
            <w:tcW w:w="1255"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val="0"/>
                <w:bCs w:val="0"/>
                <w:sz w:val="18"/>
                <w:szCs w:val="18"/>
              </w:rPr>
              <w:t>74.2</w:t>
            </w:r>
          </w:p>
        </w:tc>
        <w:tc>
          <w:tcPr>
            <w:tcW w:w="1109"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val="0"/>
                <w:bCs w:val="0"/>
                <w:sz w:val="18"/>
                <w:szCs w:val="18"/>
              </w:rPr>
              <w:t>38.7</w:t>
            </w:r>
          </w:p>
        </w:tc>
      </w:tr>
    </w:tbl>
    <w:p>
      <w:pPr>
        <w:spacing w:after="0"/>
      </w:pPr>
    </w:p>
    <w:p>
      <w:pPr>
        <w:jc w:val="left"/>
        <w:spacing w:after="120" w:before="0" w:line="384" w:lineRule="auto"/>
      </w:pPr>
      <w:r>
        <w:rPr>
          <w:rFonts w:ascii="Arial" w:eastAsia="맑은 고딕" w:hAnsi="Arial"/>
          <w:b w:val="0"/>
          <w:bCs w:val="0"/>
          <w:sz w:val="16"/>
          <w:szCs w:val="16"/>
        </w:rPr>
        <w:t>출처: 지방재정365 세부사업별 세출결산(대전본청). 사업코드로 2023·2024·2025년을 연결해 세 해 모두 집행률 70% 미만인 사업 가운데 2025년 예산현액 50억 원 이상을 골랐다. 11건 전부가 첨부 1의 18건에도 포함된다.</w:t>
      </w:r>
    </w:p>
    <w:p>
      <w:pPr>
        <w:jc w:val="left"/>
        <w:spacing w:after="120" w:before="0" w:line="384" w:lineRule="auto"/>
      </w:pPr>
      <w:r>
        <w:rPr>
          <w:rFonts w:ascii="Arial" w:eastAsia="맑은 고딕" w:hAnsi="Arial"/>
          <w:b w:val="0"/>
          <w:bCs w:val="0"/>
          <w:sz w:val="16"/>
          <w:szCs w:val="16"/>
        </w:rPr>
        <w:t>주: 첨부 1에만 있고 첨부 2에는 없는 7건(지하차도 진입차단시설·대덕특구 융합연구혁신센터·보문산권역 산림복지휴양단지·보문산 수목원·제2대전문학관·유성대로 연결도로·기후대응도시숲 조성)은 2025년에 저집행이 나타났거나 3년 연속 조건에 들지 않은 사업이다.</w:t>
      </w:r>
    </w:p>
    <w:sectPr>
      <w:pgSz w:w="11906" w:h="16838"/>
      <w:pgMar w:top="1701" w:right="1417" w:bottom="1701" w:left="1701" w:header="708" w:footer="708" w:gutter="0"/>
      <w:cols/>
      <w:docGrid w:linePitch="360"/>
      <w:footerReference w:type="default" r:id="rId1"/>
      <w:pgNumType w:start="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w:font w:name="Arial">
    <w:panose1 w:val="020B0604020202020204"/>
    <w:notTrueType w:val="false"/>
    <w:sig w:usb0="E0002EFF" w:usb1="C000785B" w:usb2="00000009" w:usb3="00000001" w:csb0="400001FF" w:csb1="FFFF0000"/>
  </w:font>
  <w:font w:name="맑은 고딕">
    <w:panose1 w:val="020B0503020000020004"/>
    <w:notTrueType w:val="false"/>
    <w:sig w:usb0="9000002F" w:usb1="29D77CFB" w:usb2="00000012" w:usb3="00000001" w:csb0="00080001" w:csb1="00000001"/>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w:p>
    <w:pPr>
      <w:jc w:val="center"/>
    </w:pPr>
    <w:r>
      <w:rPr>
        <w:sz w:val="18"/>
        <w:szCs w:val="18"/>
      </w:rPr>
      <w:t xml:space="preserve">- </w:t>
    </w:r>
    <w:r>
      <w:rPr>
        <w:sz w:val="18"/>
        <w:szCs w:val="18"/>
      </w:rPr>
      <w:fldChar w:fldCharType="begin"/>
    </w:r>
    <w:r>
      <w:rPr>
        <w:sz w:val="18"/>
        <w:szCs w:val="18"/>
      </w:rPr>
      <w:instrText>PAGE</w:instrText>
    </w:r>
    <w:r>
      <w:rPr>
        <w:sz w:val="18"/>
        <w:szCs w:val="18"/>
      </w:rPr>
      <w:fldChar w:fldCharType="separate"/>
    </w:r>
    <w:r>
      <w:rPr>
        <w:sz w:val="18"/>
        <w:szCs w:val="18"/>
      </w:rPr>
      <w:fldChar w:fldCharType="end"/>
    </w:r>
    <w:r>
      <w:rPr>
        <w:sz w:val="18"/>
        <w:szCs w:val="18"/>
      </w:rPr>
      <w:t xml:space="preserve"> -</w: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w:removePersonalInformation/>
  <w:displayBackgroundShape/>
  <w:bordersDontSurroundHeader/>
  <w:bordersDontSurroundFooter/>
  <w:hideGrammaticalErrors/>
  <w:proofState w:spelling="clean" w:grammar="clean"/>
  <w:hyphenationZone w:val="360"/>
  <w:stylePaneFormatFilter w:val="4024" w:allStyles="0" w:customStyles="0" w:latentStyles="1" w:stylesInUse="0" w:headingStyles="1" w:numberingStyles="0" w:tableStyles="0" w:directFormattingOnRuns="0" w:directFormattingOnParagraphs="0" w:directFormattingOnNumbering="0" w:directFormattingOnTables="0" w:clearFormatting="0" w:top3HeadingStyles="0" w:visibleStyles="1" w:alternateStyleNames="0"/>
  <w:drawingGridHorizontalSpacing w:val="180"/>
  <w:drawingGridVerticalSpacing w:val="180"/>
  <w:displayHorizontalDrawingGridEvery w:val="1"/>
  <w:displayVerticalDrawingGridEvery w:val="1"/>
  <w:characterSpacingControl w:val="doNotCompress"/>
  <w:compat>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0"/>
    <m:dispDef m:val="1"/>
    <m:lMargin m:val="0"/>
    <m:rMargin m:val="0"/>
    <m:defJc m:val="centerGroup"/>
    <m:wrapIndent m:val="1440"/>
    <m:wrapRight m:val="0"/>
    <m:intLim m:val="subSup"/>
    <m:naryLim m:val="undOvr"/>
    <m:interSp m:val="0"/>
    <m:intraSp m:val="0"/>
    <m:preSp m:val="0"/>
    <m:postSp m:val="0"/>
  </m:mathPr>
  <w:themeFontLang w:val="" w:eastAsia="" w:bidi=""/>
</w:settings>
</file>

<file path=word/styles.xml><?xml version="1.0" encoding="utf-8"?>
<w:styles xmlns:r="http://schemas.openxmlformats.org/officeDocument/2006/relationships" xmlns:w="http://schemas.openxmlformats.org/wordprocessingml/2006/main">
  <w:docDefaults>
    <w:rPrDefault>
      <w:rPr>
        <w:rFonts w:ascii="Arial" w:eastAsia="맑은 고딕" w:hAnsi="Arial"/>
        <w:sz w:val="20"/>
        <w:szCs w:val="20"/>
      </w:rPr>
    </w:rPrDefault>
    <w:pPrDefault>
      <w:pPr>
        <w:spacing w:after="60" w:line="384"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7" w:unhideWhenUsed="1"/>
    <w:lsdException w:name="toc 2" w:semiHidden="1" w:uiPriority="57" w:unhideWhenUsed="1"/>
    <w:lsdException w:name="toc 3" w:semiHidden="1" w:uiPriority="57" w:unhideWhenUsed="1"/>
    <w:lsdException w:name="toc 4" w:semiHidden="1" w:uiPriority="57" w:unhideWhenUsed="1"/>
    <w:lsdException w:name="toc 5" w:semiHidden="1" w:uiPriority="57" w:unhideWhenUsed="1"/>
    <w:lsdException w:name="toc 6" w:semiHidden="1" w:uiPriority="57" w:unhideWhenUsed="1"/>
    <w:lsdException w:name="toc 7" w:semiHidden="1" w:uiPriority="57" w:unhideWhenUsed="1"/>
    <w:lsdException w:name="toc 8" w:semiHidden="1" w:uiPriority="57" w:unhideWhenUsed="1"/>
    <w:lsdException w:name="toc 9" w:semiHidden="1" w:uiPriority="57"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53"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6"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7"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34" w:qFormat="1"/>
    <w:lsdException w:name="Emphasis" w:uiPriority="32"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7"/>
    <w:lsdException w:name="Table Theme" w:semiHidden="1" w:unhideWhenUsed="1"/>
    <w:lsdException w:name="Placeholder Text" w:semiHidden="1"/>
    <w:lsdException w:name="No Spacing" w:uiPriority="1" w:qFormat="1"/>
    <w:lsdException w:name="Light Shading" w:uiPriority="96"/>
    <w:lsdException w:name="Light List" w:uiPriority="97"/>
    <w:lsdException w:name="Light Grid" w:uiPriority="98"/>
    <w:lsdException w:name="Medium Shading 1" w:uiPriority="99"/>
    <w:lsdException w:name="Medium Shading 2" w:uiPriority="100"/>
    <w:lsdException w:name="Medium List 1" w:uiPriority="101"/>
    <w:lsdException w:name="Medium List 2" w:uiPriority="102"/>
    <w:lsdException w:name="Medium Grid 1" w:uiPriority="103"/>
    <w:lsdException w:name="Medium Grid 2" w:uiPriority="104"/>
    <w:lsdException w:name="Medium Grid 3" w:uiPriority="105"/>
    <w:lsdException w:name="Dark List" w:uiPriority="112"/>
    <w:lsdException w:name="Colorful Shading" w:uiPriority="113"/>
    <w:lsdException w:name="Colorful List" w:uiPriority="114"/>
    <w:lsdException w:name="Colorful Grid" w:uiPriority="115"/>
    <w:lsdException w:name="Light Shading Accent 1" w:uiPriority="96"/>
    <w:lsdException w:name="Light List Accent 1" w:uiPriority="97"/>
    <w:lsdException w:name="Light Grid Accent 1" w:uiPriority="98"/>
    <w:lsdException w:name="Medium Shading 1 Accent 1" w:uiPriority="99"/>
    <w:lsdException w:name="Medium Shading 2 Accent 1" w:uiPriority="100"/>
    <w:lsdException w:name="Medium List 1 Accent 1" w:uiPriority="101"/>
    <w:lsdException w:name="Revision" w:semiHidden="1"/>
    <w:lsdException w:name="List Paragraph" w:uiPriority="52" w:qFormat="1"/>
    <w:lsdException w:name="Quote" w:uiPriority="41" w:qFormat="1"/>
    <w:lsdException w:name="Intense Quote" w:uiPriority="48" w:qFormat="1"/>
    <w:lsdException w:name="Medium List 2 Accent 1" w:uiPriority="102"/>
    <w:lsdException w:name="Medium Grid 1 Accent 1" w:uiPriority="103"/>
    <w:lsdException w:name="Medium Grid 2 Accent 1" w:uiPriority="104"/>
    <w:lsdException w:name="Medium Grid 3 Accent 1" w:uiPriority="105"/>
    <w:lsdException w:name="Dark List Accent 1" w:uiPriority="112"/>
    <w:lsdException w:name="Colorful Shading Accent 1" w:uiPriority="113"/>
    <w:lsdException w:name="Colorful List Accent 1" w:uiPriority="114"/>
    <w:lsdException w:name="Colorful Grid Accent 1" w:uiPriority="115"/>
    <w:lsdException w:name="Light Shading Accent 2" w:uiPriority="96"/>
    <w:lsdException w:name="Light List Accent 2" w:uiPriority="97"/>
    <w:lsdException w:name="Light Grid Accent 2" w:uiPriority="98"/>
    <w:lsdException w:name="Medium Shading 1 Accent 2" w:uiPriority="99"/>
    <w:lsdException w:name="Medium Shading 2 Accent 2" w:uiPriority="100"/>
    <w:lsdException w:name="Medium List 1 Accent 2" w:uiPriority="101"/>
    <w:lsdException w:name="Medium List 2 Accent 2" w:uiPriority="102"/>
    <w:lsdException w:name="Medium Grid 1 Accent 2" w:uiPriority="103"/>
    <w:lsdException w:name="Medium Grid 2 Accent 2" w:uiPriority="104"/>
    <w:lsdException w:name="Medium Grid 3 Accent 2" w:uiPriority="105"/>
    <w:lsdException w:name="Dark List Accent 2" w:uiPriority="112"/>
    <w:lsdException w:name="Colorful Shading Accent 2" w:uiPriority="113"/>
    <w:lsdException w:name="Colorful List Accent 2" w:uiPriority="114"/>
    <w:lsdException w:name="Colorful Grid Accent 2" w:uiPriority="115"/>
    <w:lsdException w:name="Light Shading Accent 3" w:uiPriority="96"/>
    <w:lsdException w:name="Light List Accent 3" w:uiPriority="97"/>
    <w:lsdException w:name="Light Grid Accent 3" w:uiPriority="98"/>
    <w:lsdException w:name="Medium Shading 1 Accent 3" w:uiPriority="99"/>
    <w:lsdException w:name="Medium Shading 2 Accent 3" w:uiPriority="100"/>
    <w:lsdException w:name="Medium List 1 Accent 3" w:uiPriority="101"/>
    <w:lsdException w:name="Medium List 2 Accent 3" w:uiPriority="102"/>
    <w:lsdException w:name="Medium Grid 1 Accent 3" w:uiPriority="103"/>
    <w:lsdException w:name="Medium Grid 2 Accent 3" w:uiPriority="104"/>
    <w:lsdException w:name="Medium Grid 3 Accent 3" w:uiPriority="105"/>
    <w:lsdException w:name="Dark List Accent 3" w:uiPriority="112"/>
    <w:lsdException w:name="Colorful Shading Accent 3" w:uiPriority="113"/>
    <w:lsdException w:name="Colorful List Accent 3" w:uiPriority="114"/>
    <w:lsdException w:name="Colorful Grid Accent 3" w:uiPriority="115"/>
    <w:lsdException w:name="Light Shading Accent 4" w:uiPriority="96"/>
    <w:lsdException w:name="Light List Accent 4" w:uiPriority="97"/>
    <w:lsdException w:name="Light Grid Accent 4" w:uiPriority="98"/>
    <w:lsdException w:name="Medium Shading 1 Accent 4" w:uiPriority="99"/>
    <w:lsdException w:name="Medium Shading 2 Accent 4" w:uiPriority="100"/>
    <w:lsdException w:name="Medium List 1 Accent 4" w:uiPriority="101"/>
    <w:lsdException w:name="Medium List 2 Accent 4" w:uiPriority="102"/>
    <w:lsdException w:name="Medium Grid 1 Accent 4" w:uiPriority="103"/>
    <w:lsdException w:name="Medium Grid 2 Accent 4" w:uiPriority="104"/>
    <w:lsdException w:name="Medium Grid 3 Accent 4" w:uiPriority="105"/>
    <w:lsdException w:name="Dark List Accent 4" w:uiPriority="112"/>
    <w:lsdException w:name="Colorful Shading Accent 4" w:uiPriority="113"/>
    <w:lsdException w:name="Colorful List Accent 4" w:uiPriority="114"/>
    <w:lsdException w:name="Colorful Grid Accent 4" w:uiPriority="115"/>
    <w:lsdException w:name="Light Shading Accent 5" w:uiPriority="96"/>
    <w:lsdException w:name="Light List Accent 5" w:uiPriority="97"/>
    <w:lsdException w:name="Light Grid Accent 5" w:uiPriority="98"/>
    <w:lsdException w:name="Medium Shading 1 Accent 5" w:uiPriority="99"/>
    <w:lsdException w:name="Medium Shading 2 Accent 5" w:uiPriority="100"/>
    <w:lsdException w:name="Medium List 1 Accent 5" w:uiPriority="101"/>
    <w:lsdException w:name="Medium List 2 Accent 5" w:uiPriority="102"/>
    <w:lsdException w:name="Medium Grid 1 Accent 5" w:uiPriority="103"/>
    <w:lsdException w:name="Medium Grid 2 Accent 5" w:uiPriority="104"/>
    <w:lsdException w:name="Medium Grid 3 Accent 5" w:uiPriority="105"/>
    <w:lsdException w:name="Dark List Accent 5" w:uiPriority="112"/>
    <w:lsdException w:name="Colorful Shading Accent 5" w:uiPriority="113"/>
    <w:lsdException w:name="Colorful List Accent 5" w:uiPriority="114"/>
    <w:lsdException w:name="Colorful Grid Accent 5" w:uiPriority="115"/>
    <w:lsdException w:name="Light Shading Accent 6" w:uiPriority="96"/>
    <w:lsdException w:name="Light List Accent 6" w:uiPriority="97"/>
    <w:lsdException w:name="Light Grid Accent 6" w:uiPriority="98"/>
    <w:lsdException w:name="Medium Shading 1 Accent 6" w:uiPriority="99"/>
    <w:lsdException w:name="Medium Shading 2 Accent 6" w:uiPriority="100"/>
    <w:lsdException w:name="Medium List 1 Accent 6" w:uiPriority="101"/>
    <w:lsdException w:name="Medium List 2 Accent 6" w:uiPriority="102"/>
    <w:lsdException w:name="Medium Grid 1 Accent 6" w:uiPriority="103"/>
    <w:lsdException w:name="Medium Grid 2 Accent 6" w:uiPriority="104"/>
    <w:lsdException w:name="Medium Grid 3 Accent 6" w:uiPriority="105"/>
    <w:lsdException w:name="Dark List Accent 6" w:uiPriority="112"/>
    <w:lsdException w:name="Colorful Shading Accent 6" w:uiPriority="113"/>
    <w:lsdException w:name="Colorful List Accent 6" w:uiPriority="114"/>
    <w:lsdException w:name="Colorful Grid Accent 6" w:uiPriority="115"/>
    <w:lsdException w:name="Subtle Emphasis" w:uiPriority="25" w:qFormat="1"/>
    <w:lsdException w:name="Intense Emphasis" w:uiPriority="33" w:qFormat="1"/>
    <w:lsdException w:name="Subtle Reference" w:uiPriority="49" w:qFormat="1"/>
    <w:lsdException w:name="Intense Reference" w:uiPriority="50" w:qFormat="1"/>
    <w:lsdException w:name="Book Title" w:uiPriority="51" w:qFormat="1"/>
    <w:lsdException w:name="Bibliography" w:semiHidden="1" w:uiPriority="55" w:unhideWhenUsed="1"/>
    <w:lsdException w:name="TOC Heading" w:semiHidden="1" w:uiPriority="57" w:unhideWhenUsed="1" w:qFormat="1"/>
    <w:lsdException w:name="Plain Table 1" w:uiPriority="65"/>
    <w:lsdException w:name="Plain Table 2" w:uiPriority="66"/>
    <w:lsdException w:name="Plain Table 3" w:uiPriority="67"/>
    <w:lsdException w:name="Plain Table 4" w:uiPriority="68"/>
    <w:lsdException w:name="Plain Table 5" w:uiPriority="69"/>
    <w:lsdException w:name="Grid Table Light" w:uiPriority="64"/>
    <w:lsdException w:name="Grid Table 1 Light" w:uiPriority="70"/>
    <w:lsdException w:name="Grid Table 2" w:uiPriority="71"/>
    <w:lsdException w:name="Grid Table 3" w:uiPriority="72"/>
    <w:lsdException w:name="Grid Table 4" w:uiPriority="73"/>
    <w:lsdException w:name="Grid Table 5 Dark" w:uiPriority="80"/>
    <w:lsdException w:name="Grid Table 6 Colorful" w:uiPriority="81"/>
    <w:lsdException w:name="Grid Table 7 Colorful" w:uiPriority="82"/>
    <w:lsdException w:name="Grid Table 1 Light Accent 1" w:uiPriority="70"/>
    <w:lsdException w:name="Grid Table 2 Accent 1" w:uiPriority="71"/>
    <w:lsdException w:name="Grid Table 3 Accent 1" w:uiPriority="72"/>
    <w:lsdException w:name="Grid Table 4 Accent 1" w:uiPriority="73"/>
    <w:lsdException w:name="Grid Table 5 Dark Accent 1" w:uiPriority="80"/>
    <w:lsdException w:name="Grid Table 6 Colorful Accent 1" w:uiPriority="81"/>
    <w:lsdException w:name="Grid Table 7 Colorful Accent 1" w:uiPriority="82"/>
    <w:lsdException w:name="Grid Table 1 Light Accent 2" w:uiPriority="70"/>
    <w:lsdException w:name="Grid Table 2 Accent 2" w:uiPriority="71"/>
    <w:lsdException w:name="Grid Table 3 Accent 2" w:uiPriority="72"/>
    <w:lsdException w:name="Grid Table 4 Accent 2" w:uiPriority="73"/>
    <w:lsdException w:name="Grid Table 5 Dark Accent 2" w:uiPriority="80"/>
    <w:lsdException w:name="Grid Table 6 Colorful Accent 2" w:uiPriority="81"/>
    <w:lsdException w:name="Grid Table 7 Colorful Accent 2" w:uiPriority="82"/>
    <w:lsdException w:name="Grid Table 1 Light Accent 3" w:uiPriority="70"/>
    <w:lsdException w:name="Grid Table 2 Accent 3" w:uiPriority="71"/>
    <w:lsdException w:name="Grid Table 3 Accent 3" w:uiPriority="72"/>
    <w:lsdException w:name="Grid Table 4 Accent 3" w:uiPriority="73"/>
    <w:lsdException w:name="Grid Table 5 Dark Accent 3" w:uiPriority="80"/>
    <w:lsdException w:name="Grid Table 6 Colorful Accent 3" w:uiPriority="81"/>
    <w:lsdException w:name="Grid Table 7 Colorful Accent 3" w:uiPriority="82"/>
    <w:lsdException w:name="Grid Table 1 Light Accent 4" w:uiPriority="70"/>
    <w:lsdException w:name="Grid Table 2 Accent 4" w:uiPriority="71"/>
    <w:lsdException w:name="Grid Table 3 Accent 4" w:uiPriority="72"/>
    <w:lsdException w:name="Grid Table 4 Accent 4" w:uiPriority="73"/>
    <w:lsdException w:name="Grid Table 5 Dark Accent 4" w:uiPriority="80"/>
    <w:lsdException w:name="Grid Table 6 Colorful Accent 4" w:uiPriority="81"/>
    <w:lsdException w:name="Grid Table 7 Colorful Accent 4" w:uiPriority="82"/>
    <w:lsdException w:name="Grid Table 1 Light Accent 5" w:uiPriority="70"/>
    <w:lsdException w:name="Grid Table 2 Accent 5" w:uiPriority="71"/>
    <w:lsdException w:name="Grid Table 3 Accent 5" w:uiPriority="72"/>
    <w:lsdException w:name="Grid Table 4 Accent 5" w:uiPriority="73"/>
    <w:lsdException w:name="Grid Table 5 Dark Accent 5" w:uiPriority="80"/>
    <w:lsdException w:name="Grid Table 6 Colorful Accent 5" w:uiPriority="81"/>
    <w:lsdException w:name="Grid Table 7 Colorful Accent 5" w:uiPriority="82"/>
    <w:lsdException w:name="Grid Table 1 Light Accent 6" w:uiPriority="70"/>
    <w:lsdException w:name="Grid Table 2 Accent 6" w:uiPriority="71"/>
    <w:lsdException w:name="Grid Table 3 Accent 6" w:uiPriority="72"/>
    <w:lsdException w:name="Grid Table 4 Accent 6" w:uiPriority="73"/>
    <w:lsdException w:name="Grid Table 5 Dark Accent 6" w:uiPriority="80"/>
    <w:lsdException w:name="Grid Table 6 Colorful Accent 6" w:uiPriority="81"/>
    <w:lsdException w:name="Grid Table 7 Colorful Accent 6" w:uiPriority="82"/>
    <w:lsdException w:name="List Table 1 Light" w:uiPriority="70"/>
    <w:lsdException w:name="List Table 2" w:uiPriority="71"/>
    <w:lsdException w:name="List Table 3" w:uiPriority="72"/>
    <w:lsdException w:name="List Table 4" w:uiPriority="73"/>
    <w:lsdException w:name="List Table 5 Dark" w:uiPriority="80"/>
    <w:lsdException w:name="List Table 6 Colorful" w:uiPriority="81"/>
    <w:lsdException w:name="List Table 7 Colorful" w:uiPriority="82"/>
    <w:lsdException w:name="List Table 1 Light Accent 1" w:uiPriority="70"/>
    <w:lsdException w:name="List Table 2 Accent 1" w:uiPriority="71"/>
    <w:lsdException w:name="List Table 3 Accent 1" w:uiPriority="72"/>
    <w:lsdException w:name="List Table 4 Accent 1" w:uiPriority="73"/>
    <w:lsdException w:name="List Table 5 Dark Accent 1" w:uiPriority="80"/>
    <w:lsdException w:name="List Table 6 Colorful Accent 1" w:uiPriority="81"/>
    <w:lsdException w:name="List Table 7 Colorful Accent 1" w:uiPriority="82"/>
    <w:lsdException w:name="List Table 1 Light Accent 2" w:uiPriority="70"/>
    <w:lsdException w:name="List Table 2 Accent 2" w:uiPriority="71"/>
    <w:lsdException w:name="List Table 3 Accent 2" w:uiPriority="72"/>
    <w:lsdException w:name="List Table 4 Accent 2" w:uiPriority="73"/>
    <w:lsdException w:name="List Table 5 Dark Accent 2" w:uiPriority="80"/>
    <w:lsdException w:name="List Table 6 Colorful Accent 2" w:uiPriority="81"/>
    <w:lsdException w:name="List Table 7 Colorful Accent 2" w:uiPriority="82"/>
    <w:lsdException w:name="List Table 1 Light Accent 3" w:uiPriority="70"/>
    <w:lsdException w:name="List Table 2 Accent 3" w:uiPriority="71"/>
    <w:lsdException w:name="List Table 3 Accent 3" w:uiPriority="72"/>
    <w:lsdException w:name="List Table 4 Accent 3" w:uiPriority="73"/>
    <w:lsdException w:name="List Table 5 Dark Accent 3" w:uiPriority="80"/>
    <w:lsdException w:name="List Table 6 Colorful Accent 3" w:uiPriority="81"/>
    <w:lsdException w:name="List Table 7 Colorful Accent 3" w:uiPriority="82"/>
    <w:lsdException w:name="List Table 1 Light Accent 4" w:uiPriority="70"/>
    <w:lsdException w:name="List Table 2 Accent 4" w:uiPriority="71"/>
    <w:lsdException w:name="List Table 3 Accent 4" w:uiPriority="72"/>
    <w:lsdException w:name="List Table 4 Accent 4" w:uiPriority="73"/>
    <w:lsdException w:name="List Table 5 Dark Accent 4" w:uiPriority="80"/>
    <w:lsdException w:name="List Table 6 Colorful Accent 4" w:uiPriority="81"/>
    <w:lsdException w:name="List Table 7 Colorful Accent 4" w:uiPriority="82"/>
    <w:lsdException w:name="List Table 1 Light Accent 5" w:uiPriority="70"/>
    <w:lsdException w:name="List Table 2 Accent 5" w:uiPriority="71"/>
    <w:lsdException w:name="List Table 3 Accent 5" w:uiPriority="72"/>
    <w:lsdException w:name="List Table 4 Accent 5" w:uiPriority="73"/>
    <w:lsdException w:name="List Table 5 Dark Accent 5" w:uiPriority="80"/>
    <w:lsdException w:name="List Table 6 Colorful Accent 5" w:uiPriority="81"/>
    <w:lsdException w:name="List Table 7 Colorful Accent 5" w:uiPriority="82"/>
    <w:lsdException w:name="List Table 1 Light Accent 6" w:uiPriority="70"/>
    <w:lsdException w:name="List Table 2 Accent 6" w:uiPriority="71"/>
    <w:lsdException w:name="List Table 3 Accent 6" w:uiPriority="72"/>
    <w:lsdException w:name="List Table 4 Accent 6" w:uiPriority="73"/>
    <w:lsdException w:name="List Table 5 Dark Accent 6" w:uiPriority="80"/>
    <w:lsdException w:name="List Table 6 Colorful Accent 6" w:uiPriority="81"/>
    <w:lsdException w:name="List Table 7 Colorful Accent 6" w:uiPriority="82"/>
  </w:latentStyles>
  <w:style w:type="paragraph" w:styleId="Title">
    <w:name w:val="Title"/>
    <w:next w:val="Title"/>
    <w:qFormat/>
    <w:rPr>
      <w:sz w:val="56"/>
      <w:szCs w:val="56"/>
    </w:rPr>
  </w:style>
  <w:style w:type="paragraph" w:customStyle="1" w:styleId="Heading1">
    <w:name w:val="Heading 1"/>
    <w:next w:val="Title"/>
    <w:qFormat/>
    <w:rPr>
      <w:color w:val="2E74B5"/>
      <w:sz w:val="32"/>
      <w:szCs w:val="32"/>
    </w:rPr>
  </w:style>
  <w:style w:type="paragraph" w:customStyle="1" w:styleId="Heading2">
    <w:name w:val="Heading 2"/>
    <w:next w:val="Title"/>
    <w:qFormat/>
    <w:rPr>
      <w:color w:val="2E74B5"/>
      <w:sz w:val="26"/>
      <w:szCs w:val="26"/>
    </w:rPr>
  </w:style>
  <w:style w:type="paragraph" w:customStyle="1" w:styleId="Heading3">
    <w:name w:val="Heading 3"/>
    <w:next w:val="Title"/>
    <w:qFormat/>
    <w:rPr>
      <w:color w:val="1F4D78"/>
      <w:sz w:val="24"/>
      <w:szCs w:val="24"/>
    </w:rPr>
  </w:style>
  <w:style w:type="paragraph" w:customStyle="1" w:styleId="Heading4">
    <w:name w:val="Heading 4"/>
    <w:next w:val="Title"/>
    <w:qFormat/>
    <w:rPr>
      <w:i/>
      <w:iCs/>
      <w:color w:val="2E74B5"/>
    </w:rPr>
  </w:style>
  <w:style w:type="paragraph" w:customStyle="1" w:styleId="Heading5">
    <w:name w:val="Heading 5"/>
    <w:next w:val="Title"/>
    <w:qFormat/>
    <w:rPr>
      <w:color w:val="2E74B5"/>
    </w:rPr>
  </w:style>
  <w:style w:type="paragraph" w:customStyle="1" w:styleId="Heading6">
    <w:name w:val="Heading 6"/>
    <w:next w:val="Title"/>
    <w:qFormat/>
    <w:rPr>
      <w:color w:val="1F4D78"/>
    </w:rPr>
  </w:style>
  <w:style w:type="paragraph" w:styleId="Strong">
    <w:name w:val="Strong"/>
    <w:next w:val="Title"/>
    <w:qFormat/>
    <w:rPr>
      <w:b/>
      <w:bCs/>
    </w:rPr>
  </w:style>
  <w:style w:type="paragraph" w:styleId="ListParagraph">
    <w:name w:val="List Paragraph"/>
    <w:qFormat/>
  </w:style>
  <w:style w:type="character" w:styleId="Hyperlink">
    <w:name w:val="Hyperlink"/>
    <w:uiPriority w:val="99"/>
    <w:unhideWhenUsed/>
    <w:rPr>
      <w:color w:val="0563C1"/>
      <w:u w:val="single" w:color="auto"/>
    </w:rPr>
  </w:style>
  <w:style w:type="character" w:styleId="FootnoteReference">
    <w:name w:val="footnote reference"/>
    <w:uiPriority w:val="99"/>
    <w:semiHidden/>
    <w:unhideWhenUsed/>
    <w:rPr>
      <w:vertAlign w:val="superscript"/>
    </w:rPr>
  </w:style>
  <w:style w:type="paragraph" w:styleId="FootnoteText">
    <w:name w:val="footnote text"/>
    <w:uiPriority w:val="99"/>
    <w:link w:val="FootnoteTextChar"/>
    <w:semiHidden/>
    <w:unhideWhenUsed/>
    <w:pPr>
      <w:spacing w:after="0" w:line="240" w:lineRule="auto"/>
    </w:pPr>
    <w:rPr>
      <w:sz w:val="20"/>
      <w:szCs w:val="20"/>
    </w:rPr>
  </w:style>
  <w:style w:type="character" w:customStyle="1" w:styleId="FootnoteTextChar">
    <w:name w:val="Footnote Text Char"/>
    <w:uiPriority w:val="99"/>
    <w:link w:val="FootnoteText"/>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uiPriority w:val="99"/>
    <w:link w:val="EndnoteTextChar"/>
    <w:semiHidden/>
    <w:unhideWhenUsed/>
    <w:pPr>
      <w:spacing w:after="0" w:line="240" w:lineRule="auto"/>
    </w:pPr>
    <w:rPr>
      <w:sz w:val="20"/>
      <w:szCs w:val="20"/>
    </w:rPr>
  </w:style>
  <w:style w:type="character" w:customStyle="1" w:styleId="EndnoteTextChar">
    <w:name w:val="Endnote Text Char"/>
    <w:uiPriority w:val="99"/>
    <w:link w:val="EndnoteText"/>
    <w:semiHidden/>
    <w:unhideWhenUsed/>
    <w:rPr>
      <w:sz w:val="20"/>
      <w:szCs w:val="20"/>
    </w:rPr>
  </w:style>
  <w:style w:type="table" w:default="1" w:styleId="a4">
    <w:name w:val="Normal Table"/>
    <w:uiPriority w:val="99"/>
    <w:semiHidden/>
    <w:unhideWhenUsed/>
    <w:tblPr>
      <w:tblInd w:w="0" w:type="dxa"/>
      <w:tblCellMar>
        <w:top w:w="0" w:type="dxa"/>
        <w:left w:w="108" w:type="dxa"/>
        <w:bottom w:w="0" w:type="dxa"/>
        <w:right w:w="108" w:type="dxa"/>
      </w:tblCellMar>
    </w:tblPr>
  </w:style>
  <w:style w:type="character" w:default="1" w:styleId="a3">
    <w:name w:val="Default Paragraph Font"/>
    <w:uiPriority w:val="1"/>
    <w:semiHidden/>
    <w:unhideWhenUsed/>
  </w:style>
  <w:style w:type="paragraph" w:default="1" w:styleId="a2">
    <w:name w:val="Normal"/>
    <w:qFormat/>
    <w:pPr>
      <w:autoSpaceDE w:val="off"/>
      <w:autoSpaceDN w:val="off"/>
      <w:widowControl w:val="off"/>
      <w:wordWrap w:val="off"/>
    </w:pPr>
  </w:style>
  <w:style w:type="numbering" w:default="1" w:styleId="a5">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Relationships xmlns="http://schemas.openxmlformats.org/package/2006/relationships"><Relationship Id="rId1" Type="http://schemas.openxmlformats.org/officeDocument/2006/relationships/footer" Target="footer1.xml" /><Relationship Id="rId2" Type="http://schemas.openxmlformats.org/officeDocument/2006/relationships/styles" Target="styles.xml" /><Relationship Id="rId3" Type="http://schemas.openxmlformats.org/officeDocument/2006/relationships/settings" Target="settings.xml" /><Relationship Id="rId4" Type="http://schemas.openxmlformats.org/officeDocument/2006/relationships/fontTable" Target="fontTable.xml" /><Relationship Id="rId5" Type="http://schemas.openxmlformats.org/officeDocument/2006/relationships/webSettings" Target="webSettings.xml" /><Relationship Id="rId6" Type="http://schemas.openxmlformats.org/officeDocument/2006/relationships/theme" Target="theme/theme1.xml" /></Relationships>
</file>

<file path=word/theme/theme1.xml><?xml version="1.0" encoding="utf-8"?>
<a:theme xmlns:a="http://schemas.openxmlformats.org/drawingml/2006/main" name="Hancom Office">
  <a:themeElements>
    <a:clrScheme name="Hancom Office">
      <a:dk1>
        <a:sysClr lastClr="000000" val="windowText"/>
      </a:dk1>
      <a:lt1>
        <a:sysClr lastClr="FFFFFF" val="window"/>
      </a:lt1>
      <a:dk2>
        <a:srgbClr val="3A3C84"/>
      </a:dk2>
      <a:lt2>
        <a:srgbClr val="FAF3DB"/>
      </a:lt2>
      <a:accent1>
        <a:srgbClr val="6182D6"/>
      </a:accent1>
      <a:accent2>
        <a:srgbClr val="FF843A"/>
      </a:accent2>
      <a:accent3>
        <a:srgbClr val="B2B2B2"/>
      </a:accent3>
      <a:accent4>
        <a:srgbClr val="FFD700"/>
      </a:accent4>
      <a:accent5>
        <a:srgbClr val="289B6E"/>
      </a:accent5>
      <a:accent6>
        <a:srgbClr val="9D5CBB"/>
      </a:accent6>
      <a:hlink>
        <a:srgbClr val="0000FF"/>
      </a:hlink>
      <a:folHlink>
        <a:srgbClr val="800080"/>
      </a:folHlink>
    </a:clrScheme>
    <a:fontScheme name="Hancom Office">
      <a:majorFont>
        <a:latin typeface="함초롬돋움"/>
        <a:ea typeface=""/>
        <a:cs typeface=""/>
        <a:font script="Jpan" typeface="MS Gothic"/>
        <a:font script="Hang" typeface="함초롬돋움"/>
        <a:font script="Hans" typeface="SimSun"/>
        <a:font script="Hant" typeface="PMingLiU"/>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함초롬돋움"/>
        <a:ea typeface=""/>
        <a:cs typeface=""/>
        <a:font script="Jpan" typeface="MS Mincho"/>
        <a:font script="Hang" typeface="함초롬돋움"/>
        <a:font script="Hans" typeface="SimSun"/>
        <a:font script="Hant" typeface="PMingLiU"/>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Hancom Office">
      <a:fillStyleLst>
        <a:solidFill>
          <a:schemeClr val="phClr"/>
        </a:solidFill>
        <a:gradFill flip="none" rotWithShape="1">
          <a:gsLst>
            <a:gs pos="0">
              <a:schemeClr val="phClr">
                <a:satMod val="104999"/>
                <a:tint val="67000"/>
              </a:schemeClr>
            </a:gs>
            <a:gs pos="50000">
              <a:schemeClr val="phClr">
                <a:satMod val="103000"/>
                <a:tint val="73000"/>
              </a:schemeClr>
            </a:gs>
            <a:gs pos="100000">
              <a:schemeClr val="phClr">
                <a:satMod val="109000"/>
                <a:tint val="81000"/>
              </a:schemeClr>
            </a:gs>
          </a:gsLst>
          <a:lin ang="5400000" scaled="0"/>
          <a:tileRect/>
        </a:gradFill>
        <a:gradFill flip="none" rotWithShape="1">
          <a:gsLst>
            <a:gs pos="0">
              <a:schemeClr val="phClr">
                <a:satMod val="103000"/>
                <a:tint val="94000"/>
              </a:schemeClr>
            </a:gs>
            <a:gs pos="50000">
              <a:schemeClr val="phClr">
                <a:satMod val="110000"/>
                <a:shade val="100000"/>
              </a:schemeClr>
            </a:gs>
            <a:gs pos="100000">
              <a:schemeClr val="phClr">
                <a:satMod val="120000"/>
                <a:shade val="78000"/>
              </a:schemeClr>
            </a:gs>
          </a:gsLst>
          <a:lin ang="5400000" scaled="0"/>
          <a:tileRect/>
        </a:gradFill>
      </a:fillStyleLst>
      <a:lnStyleLst>
        <a:ln w="6350">
          <a:solidFill>
            <a:schemeClr val="phClr"/>
          </a:solidFill>
          <a:miter lim="800000"/>
        </a:ln>
        <a:ln w="12700">
          <a:solidFill>
            <a:schemeClr val="phClr"/>
          </a:solidFill>
          <a:miter lim="800000"/>
        </a:ln>
        <a:ln w="19050">
          <a:solidFill>
            <a:schemeClr val="phClr"/>
          </a:solidFill>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flip="none" rotWithShape="1">
          <a:gsLst>
            <a:gs pos="0">
              <a:schemeClr val="phClr">
                <a:satMod val="104999"/>
                <a:tint val="67000"/>
              </a:schemeClr>
            </a:gs>
            <a:gs pos="50000">
              <a:schemeClr val="phClr">
                <a:satMod val="103000"/>
                <a:tint val="73000"/>
              </a:schemeClr>
            </a:gs>
            <a:gs pos="100000">
              <a:schemeClr val="phClr">
                <a:satMod val="109000"/>
                <a:tint val="81000"/>
              </a:schemeClr>
            </a:gs>
          </a:gsLst>
          <a:lin ang="5400000" scaled="0"/>
          <a:tileRect/>
        </a:gradFill>
        <a:gradFill flip="none" rotWithShape="1">
          <a:gsLst>
            <a:gs pos="0">
              <a:schemeClr val="phClr">
                <a:satMod val="103000"/>
                <a:tint val="94000"/>
              </a:schemeClr>
            </a:gs>
            <a:gs pos="50000">
              <a:schemeClr val="phClr">
                <a:satMod val="110000"/>
                <a:shade val="100000"/>
              </a:schemeClr>
            </a:gs>
            <a:gs pos="100000">
              <a:schemeClr val="phClr">
                <a:satMod val="120000"/>
                <a:shade val="78000"/>
              </a:schemeClr>
            </a:gs>
          </a:gsLst>
          <a:lin ang="5400000" scaled="0"/>
          <a:tileRect/>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Application>Word</Application>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Un-named</dc:creator>
  <cp:keywords/>
  <dc:description/>
  <cp:lastModifiedBy>재섭</cp:lastModifiedBy>
  <cp:revision>1</cp:revision>
  <dcterms:modified xsi:type="dcterms:W3CDTF">2026-09-04T00:01:32Z</dcterms:modified>
  <cp:version>1000.0100.01</cp:version>
</cp:coreProperties>
</file>