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spacing w:after="60" w:before="0" w:line="384" w:lineRule="auto"/>
      </w:pPr>
      <w:r>
        <w:rPr>
          <w:rFonts w:ascii="Arial" w:eastAsia="맑은 고딕" w:hAnsi="Arial"/>
          <w:b/>
          <w:bCs/>
          <w:sz w:val="24"/>
          <w:szCs w:val="24"/>
        </w:rPr>
        <w:t>대전참여자치시민연대 보도자료</w:t>
      </w:r>
    </w:p>
    <w:p>
      <w:pPr>
        <w:jc w:val="center"/>
        <w:spacing w:after="120" w:before="0" w:line="384" w:lineRule="auto"/>
      </w:pPr>
      <w:r>
        <w:rPr>
          <w:rFonts w:ascii="Arial" w:eastAsia="맑은 고딕" w:hAnsi="Arial"/>
          <w:b w:val="0"/>
          <w:bCs w:val="0"/>
          <w:sz w:val="16"/>
          <w:szCs w:val="16"/>
        </w:rPr>
        <w:t>대전광역시 서구 문정로 148 6층 601호  TEL 042-331-0092  FAX 042-252-6976  www.cham.or.kr</w:t>
      </w:r>
    </w:p>
    <w:tbl>
      <w:tblPr>
        <w:tblW w:w="9638" w:type="dxa"/>
        <w:tblBorders>
          <w:top w:val="single" w:sz="4" w:space="0" w:color="CCCCCC"/>
          <w:left w:val="none"/>
          <w:bottom w:val="none"/>
          <w:right w:val="none"/>
          <w:insideH w:val="none"/>
          <w:insideV w:val="none"/>
        </w:tblBorders>
        <w:tblLook w:val="04A0" w:firstRow="1" w:lastRow="0" w:firstColumn="1" w:lastColumn="0" w:noHBand="0" w:noVBand="1"/>
      </w:tblPr>
      <w:tblGrid>
        <w:gridCol w:w="9638"/>
      </w:tblGrid>
      <w:tr>
        <w:tc>
          <w:tcPr>
            <w:tcW w:w="9638" w:type="dxa"/>
            <w:tcBorders>
              <w:top w:val="single" w:sz="4" w:space="0" w:color="CCCCCC"/>
              <w:left w:val="none"/>
              <w:bottom w:val="none"/>
              <w:right w:val="none"/>
            </w:tcBorders>
            <w:tcMar>
              <w:top w:w="0" w:type="dxa"/>
              <w:left w:w="0" w:type="dxa"/>
              <w:bottom w:w="0" w:type="dxa"/>
              <w:right w:w="0" w:type="dxa"/>
            </w:tcMar>
          </w:tcPr>
          <w:p>
            <w:pPr>
              <w:spacing w:after="0" w:line="40"/>
            </w:pPr>
          </w:p>
        </w:tc>
      </w:tr>
    </w:tbl>
    <w:p>
      <w:pPr>
        <w:jc w:val="both"/>
        <w:spacing w:after="80" w:before="0" w:line="384" w:lineRule="auto"/>
      </w:pPr>
    </w:p>
    <w:p>
      <w:pPr>
        <w:ind w:left="1000" w:hanging="1000"/>
        <w:jc w:val="left"/>
        <w:spacing w:after="60" w:line="340" w:lineRule="auto"/>
      </w:pPr>
      <w:r>
        <w:rPr>
          <w:rFonts w:ascii="Arial" w:eastAsia="맑은 고딕"/>
          <w:b/>
          <w:bCs/>
          <w:sz w:val="20"/>
          <w:szCs w:val="20"/>
        </w:rPr>
        <w:t xml:space="preserve">수 신  /  </w:t>
      </w:r>
      <w:r>
        <w:rPr>
          <w:rFonts w:ascii="Arial" w:eastAsia="맑은 고딕" w:hAnsi="Arial"/>
          <w:b w:val="0"/>
          <w:bCs w:val="0"/>
          <w:sz w:val="20"/>
          <w:szCs w:val="20"/>
        </w:rPr>
        <w:t>각 언론사 담당기자</w:t>
      </w:r>
    </w:p>
    <w:p>
      <w:pPr>
        <w:ind w:left="1000" w:hanging="1000"/>
        <w:jc w:val="left"/>
        <w:spacing w:after="60" w:line="340" w:lineRule="auto"/>
      </w:pPr>
      <w:r>
        <w:rPr>
          <w:rFonts w:ascii="Arial" w:eastAsia="맑은 고딕"/>
          <w:b/>
          <w:bCs/>
          <w:sz w:val="20"/>
          <w:szCs w:val="20"/>
        </w:rPr>
        <w:t xml:space="preserve">날 짜  /  </w:t>
      </w:r>
      <w:r>
        <w:rPr>
          <w:rFonts w:ascii="Arial" w:eastAsia="맑은 고딕" w:hAnsi="Arial"/>
          <w:b w:val="0"/>
          <w:bCs w:val="0"/>
          <w:sz w:val="20"/>
          <w:szCs w:val="20"/>
        </w:rPr>
        <w:t>2026년 9월 4일(금)</w:t>
      </w:r>
    </w:p>
    <w:p>
      <w:pPr>
        <w:ind w:left="1000" w:hanging="1000"/>
        <w:jc w:val="left"/>
        <w:spacing w:after="60" w:line="340" w:lineRule="auto"/>
      </w:pPr>
      <w:r>
        <w:rPr>
          <w:rFonts w:ascii="Arial" w:eastAsia="맑은 고딕"/>
          <w:b/>
          <w:bCs/>
          <w:sz w:val="20"/>
          <w:szCs w:val="20"/>
        </w:rPr>
        <w:t xml:space="preserve">발 신  /  </w:t>
      </w:r>
      <w:r>
        <w:rPr>
          <w:rFonts w:ascii="Arial" w:eastAsia="맑은 고딕" w:hAnsi="Arial"/>
          <w:b w:val="0"/>
          <w:bCs w:val="0"/>
          <w:sz w:val="20"/>
          <w:szCs w:val="20"/>
        </w:rPr>
        <w:t>대전참여자치시민연대 김재섭 사무처장 (010-9355-3697 / 042-331-0092)</w:t>
      </w:r>
    </w:p>
    <w:p>
      <w:pPr>
        <w:ind w:left="1000" w:hanging="1000"/>
        <w:jc w:val="left"/>
        <w:spacing w:after="60" w:line="340" w:lineRule="auto"/>
      </w:pPr>
      <w:r>
        <w:rPr>
          <w:rFonts w:ascii="Arial" w:eastAsia="맑은 고딕"/>
          <w:b/>
          <w:bCs/>
          <w:sz w:val="20"/>
          <w:szCs w:val="20"/>
        </w:rPr>
        <w:t xml:space="preserve">제 목  /  </w:t>
      </w:r>
      <w:r>
        <w:rPr>
          <w:rFonts w:ascii="Arial" w:eastAsia="맑은 고딕" w:hAnsi="Arial"/>
          <w:b w:val="0"/>
          <w:bCs w:val="0"/>
          <w:sz w:val="20"/>
          <w:szCs w:val="20"/>
        </w:rPr>
        <w:t>대전시 재정, 법정 위기 아니다 — 문제는 자체수입 정체와 빚으로 벌인 사업의 집행 부진</w:t>
      </w:r>
    </w:p>
    <w:p>
      <w:pPr>
        <w:jc w:val="both"/>
        <w:spacing w:after="60" w:before="0" w:line="384" w:lineRule="auto"/>
      </w:pPr>
    </w:p>
    <w:tbl>
      <w:tblPr>
        <w:tblW w:w="9638" w:type="dxa"/>
        <w:tblBorders>
          <w:top w:val="single" w:sz="4" w:space="0" w:color="CCCCCC"/>
          <w:left w:val="none"/>
          <w:bottom w:val="none"/>
          <w:right w:val="none"/>
          <w:insideH w:val="none"/>
          <w:insideV w:val="none"/>
        </w:tblBorders>
        <w:tblLook w:val="04A0" w:firstRow="1" w:lastRow="0" w:firstColumn="1" w:lastColumn="0" w:noHBand="0" w:noVBand="1"/>
      </w:tblPr>
      <w:tblGrid>
        <w:gridCol w:w="9638"/>
      </w:tblGrid>
      <w:tr>
        <w:tc>
          <w:tcPr>
            <w:tcW w:w="9638" w:type="dxa"/>
            <w:tcBorders>
              <w:top w:val="single" w:sz="4" w:space="0" w:color="CCCCCC"/>
              <w:left w:val="none"/>
              <w:bottom w:val="none"/>
              <w:right w:val="none"/>
            </w:tcBorders>
            <w:tcMar>
              <w:top w:w="0" w:type="dxa"/>
              <w:left w:w="0" w:type="dxa"/>
              <w:bottom w:w="0" w:type="dxa"/>
              <w:right w:w="0" w:type="dxa"/>
            </w:tcMar>
          </w:tcPr>
          <w:p>
            <w:pPr>
              <w:spacing w:after="0" w:line="40"/>
            </w:pPr>
          </w:p>
        </w:tc>
      </w:tr>
    </w:tbl>
    <w:p>
      <w:pPr>
        <w:jc w:val="both"/>
        <w:spacing w:after="100" w:before="0" w:line="384" w:lineRule="auto"/>
      </w:pPr>
    </w:p>
    <w:p>
      <w:pPr>
        <w:ind w:left="320" w:hanging="320"/>
        <w:jc w:val="both"/>
        <w:spacing w:after="60" w:before="0" w:line="384" w:lineRule="auto"/>
      </w:pPr>
      <w:r>
        <w:rPr>
          <w:rFonts w:ascii="Arial" w:eastAsia="맑은 고딕" w:hAnsi="Arial"/>
          <w:b w:val="0"/>
          <w:bCs w:val="0"/>
          <w:sz w:val="20"/>
          <w:szCs w:val="20"/>
        </w:rPr>
        <w:t>1. 공정보도를 위해 애쓰는 귀 언론사의 노고에 감사드립니다.</w:t>
      </w:r>
    </w:p>
    <w:p>
      <w:pPr>
        <w:ind w:left="320" w:hanging="320"/>
        <w:jc w:val="both"/>
        <w:spacing w:after="60" w:before="0" w:line="384" w:lineRule="auto"/>
      </w:pPr>
      <w:r>
        <w:rPr>
          <w:rFonts w:ascii="Arial" w:eastAsia="맑은 고딕" w:hAnsi="Arial"/>
          <w:b w:val="0"/>
          <w:bCs w:val="0"/>
          <w:sz w:val="20"/>
          <w:szCs w:val="20"/>
        </w:rPr>
        <w:t>2. 대전참여자치시민연대는 1995년도에 출범하여 대전 시민과 함께 지방권력을 감시하고 주민자치 확대를 위해 활동해왔습니다.</w:t>
      </w:r>
    </w:p>
    <w:p>
      <w:pPr>
        <w:ind w:left="320" w:hanging="320"/>
        <w:jc w:val="both"/>
        <w:spacing w:after="60" w:before="0" w:line="384" w:lineRule="auto"/>
      </w:pPr>
      <w:r>
        <w:rPr>
          <w:rFonts w:ascii="Arial" w:eastAsia="맑은 고딕" w:hAnsi="Arial"/>
          <w:b w:val="0"/>
          <w:bCs w:val="0"/>
          <w:sz w:val="20"/>
          <w:szCs w:val="20"/>
        </w:rPr>
        <w:t>3. 2025회계연도 대전광역시 결산서와 첨부서류·기금결산보고서를 분석했습니다. 세입 구성과 자체수입 5년 추이, 지방재정법이 정한 재정위기 판정 지표, 대형 사업의 이월 실태, 지방공사 부채까지 원본과 대조해 확인했습니다. 9월 대전광역시의회 결산심사를 앞두고 시민이 판단할 근거를 제시하기 위한 것입니다.</w:t>
      </w:r>
    </w:p>
    <w:p>
      <w:pPr>
        <w:ind w:left="320" w:hanging="320"/>
        <w:jc w:val="both"/>
        <w:spacing w:after="60" w:before="0" w:line="384" w:lineRule="auto"/>
      </w:pPr>
      <w:r>
        <w:rPr>
          <w:rFonts w:ascii="Arial" w:eastAsia="맑은 고딕" w:hAnsi="Arial"/>
          <w:b w:val="0"/>
          <w:bCs w:val="0"/>
          <w:sz w:val="20"/>
          <w:szCs w:val="20"/>
        </w:rPr>
        <w:t xml:space="preserve">4. </w:t>
      </w:r>
      <w:r>
        <w:rPr>
          <w:rFonts w:ascii="Arial" w:eastAsia="맑은 고딕" w:hAnsi="Arial"/>
          <w:b/>
          <w:bCs/>
          <w:sz w:val="20"/>
          <w:szCs w:val="20"/>
        </w:rPr>
        <w:t>먼저 분명히 할 것이 있습니다. 대전시는 현재 법정 '재정주의단체'도 '재정위기단체'도 아닙니다.</w:t>
      </w:r>
      <w:r>
        <w:rPr>
          <w:rFonts w:ascii="Arial" w:eastAsia="맑은 고딕" w:hAnsi="Arial"/>
          <w:b w:val="0"/>
          <w:bCs w:val="0"/>
          <w:sz w:val="20"/>
          <w:szCs w:val="20"/>
        </w:rPr>
        <w:t xml:space="preserve"> 지방재정법 시행령 제65조의3은 여섯 개 지표로 이를 판정하는데, 대전시는 </w:t>
      </w:r>
      <w:r>
        <w:rPr>
          <w:rFonts w:ascii="Arial" w:eastAsia="맑은 고딕" w:hAnsi="Arial"/>
          <w:b/>
          <w:bCs/>
          <w:sz w:val="20"/>
          <w:szCs w:val="20"/>
        </w:rPr>
        <w:t>확인 가능한 다섯 개 지표에서 어느 것도 주의 구간에 들어와 있지 않습니다</w:t>
      </w:r>
      <w:r>
        <w:rPr>
          <w:rFonts w:ascii="Arial" w:eastAsia="맑은 고딕" w:hAnsi="Arial"/>
          <w:b w:val="0"/>
          <w:bCs w:val="0"/>
          <w:sz w:val="20"/>
          <w:szCs w:val="20"/>
        </w:rPr>
        <w:t>(금고잔액비율은 원천 자료가 없어 판정하지 못했습니다). 2025년 예산대비 채무비율은 18.5%로 추정되어 주의 기준(25% 초과)까지 6.5%p 남았고, 2024년 공시된 통합재정수지비율 △5.51%는 주의 기준(△25% 초과)의 5분의 1 수준입니다.</w:t>
      </w:r>
    </w:p>
    <w:p>
      <w:pPr>
        <w:ind w:left="320" w:hanging="320"/>
        <w:jc w:val="both"/>
        <w:spacing w:after="60" w:before="0" w:line="384" w:lineRule="auto"/>
      </w:pPr>
      <w:r>
        <w:rPr>
          <w:rFonts w:ascii="Arial" w:eastAsia="맑은 고딕" w:hAnsi="Arial"/>
          <w:b w:val="0"/>
          <w:bCs w:val="0"/>
          <w:sz w:val="20"/>
          <w:szCs w:val="20"/>
        </w:rPr>
        <w:t xml:space="preserve">5. 그래서 </w:t>
      </w:r>
      <w:r>
        <w:rPr>
          <w:rFonts w:ascii="Arial" w:eastAsia="맑은 고딕" w:hAnsi="Arial"/>
          <w:b/>
          <w:bCs/>
          <w:sz w:val="20"/>
          <w:szCs w:val="20"/>
        </w:rPr>
        <w:t>'재정위기'라는 표현은 조심해서 써야 합니다.</w:t>
      </w:r>
      <w:r>
        <w:rPr>
          <w:rFonts w:ascii="Arial" w:eastAsia="맑은 고딕" w:hAnsi="Arial"/>
          <w:b w:val="0"/>
          <w:bCs w:val="0"/>
          <w:sz w:val="20"/>
          <w:szCs w:val="20"/>
        </w:rPr>
        <w:t xml:space="preserve"> 이 말은 법령상 지정 상태를 가리키는 용어이기도 합니다. 일반적인 의미의 재정 어려움과 법정 지정 상태를 구분하지 않으면 시민에게 불필요한 오해와 불안을 줍니다. 대전시가 재정 상황을 설명할 때 두 개념을 분명히 구분해 밝혀 주기를 요청합니다.</w:t>
      </w:r>
    </w:p>
    <w:p>
      <w:pPr>
        <w:ind w:left="320" w:hanging="320"/>
        <w:jc w:val="both"/>
        <w:spacing w:after="60" w:before="0" w:line="384" w:lineRule="auto"/>
      </w:pPr>
      <w:r>
        <w:rPr>
          <w:rFonts w:ascii="Arial" w:eastAsia="맑은 고딕" w:hAnsi="Arial"/>
          <w:b w:val="0"/>
          <w:bCs w:val="0"/>
          <w:sz w:val="20"/>
          <w:szCs w:val="20"/>
        </w:rPr>
        <w:t xml:space="preserve">6. </w:t>
      </w:r>
      <w:r>
        <w:rPr>
          <w:rFonts w:ascii="Arial" w:eastAsia="맑은 고딕" w:hAnsi="Arial"/>
          <w:b/>
          <w:bCs/>
          <w:sz w:val="20"/>
          <w:szCs w:val="20"/>
        </w:rPr>
        <w:t>그러나 문제가 없다는 뜻은 아닙니다. 문제의 본질이 다른 곳에 있습니다.</w:t>
      </w:r>
      <w:r>
        <w:rPr>
          <w:rFonts w:ascii="Arial" w:eastAsia="맑은 고딕" w:hAnsi="Arial"/>
          <w:b w:val="0"/>
          <w:bCs w:val="0"/>
          <w:sz w:val="20"/>
          <w:szCs w:val="20"/>
        </w:rPr>
        <w:t xml:space="preserve"> 2025년 세입은 예산현액의 101%가 들어왔고 규모도 전년보다 10.8% 늘었습니다. 걷을 돈이 안 들어온 해가 아닙니다. 문제는 두 가지가 겹친 것입니다. 첫째, </w:t>
      </w:r>
      <w:r>
        <w:rPr>
          <w:rFonts w:ascii="Arial" w:eastAsia="맑은 고딕" w:hAnsi="Arial"/>
          <w:b/>
          <w:bCs/>
          <w:sz w:val="20"/>
          <w:szCs w:val="20"/>
        </w:rPr>
        <w:t>스스로 버는 돈이 제자리입니다</w:t>
      </w:r>
      <w:r>
        <w:rPr>
          <w:rFonts w:ascii="Arial" w:eastAsia="맑은 고딕" w:hAnsi="Arial"/>
          <w:b w:val="0"/>
          <w:bCs w:val="0"/>
          <w:sz w:val="20"/>
          <w:szCs w:val="20"/>
        </w:rPr>
        <w:t xml:space="preserve"> — 자체수입 비율은 5년 사이 36.34%에서 </w:t>
      </w:r>
      <w:r>
        <w:rPr>
          <w:rFonts w:ascii="Arial" w:eastAsia="맑은 고딕" w:hAnsi="Arial"/>
          <w:b/>
          <w:bCs/>
          <w:sz w:val="20"/>
          <w:szCs w:val="20"/>
        </w:rPr>
        <w:t>34.39%로 떨어졌고</w:t>
      </w:r>
      <w:r>
        <w:rPr>
          <w:rFonts w:ascii="Arial" w:eastAsia="맑은 고딕" w:hAnsi="Arial"/>
          <w:b w:val="0"/>
          <w:bCs w:val="0"/>
          <w:sz w:val="20"/>
          <w:szCs w:val="20"/>
        </w:rPr>
        <w:t xml:space="preserve">, 2025년 세입 증가 8,056억 원의 </w:t>
      </w:r>
      <w:r>
        <w:rPr>
          <w:rFonts w:ascii="Arial" w:eastAsia="맑은 고딕" w:hAnsi="Arial"/>
          <w:b/>
          <w:bCs/>
          <w:sz w:val="20"/>
          <w:szCs w:val="20"/>
        </w:rPr>
        <w:t>98.3%가 국고보조금</w:t>
      </w:r>
      <w:r>
        <w:rPr>
          <w:rFonts w:ascii="Arial" w:eastAsia="맑은 고딕" w:hAnsi="Arial"/>
          <w:b w:val="0"/>
          <w:bCs w:val="0"/>
          <w:sz w:val="20"/>
          <w:szCs w:val="20"/>
        </w:rPr>
        <w:t xml:space="preserve">이었습니다. 둘째, </w:t>
      </w:r>
      <w:r>
        <w:rPr>
          <w:rFonts w:ascii="Arial" w:eastAsia="맑은 고딕" w:hAnsi="Arial"/>
          <w:b/>
          <w:bCs/>
          <w:sz w:val="20"/>
          <w:szCs w:val="20"/>
        </w:rPr>
        <w:t>빚으로 추진한 대형 사업의 집행이 계획을 따라가지 못합니다</w:t>
      </w:r>
      <w:r>
        <w:rPr>
          <w:rFonts w:ascii="Arial" w:eastAsia="맑은 고딕" w:hAnsi="Arial"/>
          <w:b w:val="0"/>
          <w:bCs w:val="0"/>
          <w:sz w:val="20"/>
          <w:szCs w:val="20"/>
        </w:rPr>
        <w:t xml:space="preserve"> — 채무는 3년 만에 58% 늘어 1조 5,864억 원이 됐는데, 도시철도 2호선은 2025년 예산의 32%를 집행하지 못했습니다.</w:t>
      </w:r>
    </w:p>
    <w:p>
      <w:pPr>
        <w:ind w:left="320" w:hanging="320"/>
        <w:jc w:val="both"/>
        <w:spacing w:after="60" w:before="0" w:line="384" w:lineRule="auto"/>
      </w:pPr>
      <w:r>
        <w:rPr>
          <w:rFonts w:ascii="Arial" w:eastAsia="맑은 고딕" w:hAnsi="Arial"/>
          <w:b w:val="0"/>
          <w:bCs w:val="0"/>
          <w:sz w:val="20"/>
          <w:szCs w:val="20"/>
        </w:rPr>
        <w:t xml:space="preserve">7. </w:t>
      </w:r>
      <w:r>
        <w:rPr>
          <w:rFonts w:ascii="Arial" w:eastAsia="맑은 고딕" w:hAnsi="Arial"/>
          <w:b/>
          <w:bCs/>
          <w:sz w:val="20"/>
          <w:szCs w:val="20"/>
        </w:rPr>
        <w:t>여기에 시 본청 밖의 부담이 겹칩니다.</w:t>
      </w:r>
      <w:r>
        <w:rPr>
          <w:rFonts w:ascii="Arial" w:eastAsia="맑은 고딕" w:hAnsi="Arial"/>
          <w:b w:val="0"/>
          <w:bCs w:val="0"/>
          <w:sz w:val="20"/>
          <w:szCs w:val="20"/>
        </w:rPr>
        <w:t xml:space="preserve"> 공사·공단 4곳의 부채가 한 해에 5,708억 원에서 9,591억 원으로 68% 늘었고, 그 증가의 대부분이 대전도시공사 한 곳에서 나왔습니다. 도시공사는 2025년 세입의 50.8%인 5,546억 원을 차입으로 조달했습니다. </w:t>
      </w:r>
      <w:r>
        <w:rPr>
          <w:rFonts w:ascii="Arial" w:eastAsia="맑은 고딕" w:hAnsi="Arial"/>
          <w:b/>
          <w:bCs/>
          <w:sz w:val="20"/>
          <w:szCs w:val="20"/>
        </w:rPr>
        <w:t>본청 기준 법정 지표에는 이 부담이 잡히지 않습니다.</w:t>
      </w:r>
      <w:r>
        <w:rPr>
          <w:rFonts w:ascii="Arial" w:eastAsia="맑은 고딕" w:hAnsi="Arial"/>
          <w:b w:val="0"/>
          <w:bCs w:val="0"/>
          <w:sz w:val="20"/>
          <w:szCs w:val="20"/>
        </w:rPr>
        <w:t xml:space="preserve"> 최근 5년 평균 채무 증가 속도가 이어지면 약 4년 뒤 법정 주의 기준선에 닿습니다.</w:t>
      </w:r>
    </w:p>
    <w:p>
      <w:pPr>
        <w:ind w:left="320" w:hanging="320"/>
        <w:jc w:val="both"/>
        <w:spacing w:after="60" w:before="0" w:line="384" w:lineRule="auto"/>
      </w:pPr>
      <w:r>
        <w:rPr>
          <w:rFonts w:ascii="Arial" w:eastAsia="맑은 고딕" w:hAnsi="Arial"/>
          <w:b w:val="0"/>
          <w:bCs w:val="0"/>
          <w:sz w:val="20"/>
          <w:szCs w:val="20"/>
        </w:rPr>
        <w:t>8. 이에 대전참여자치시민연대는 결산심사에서 검증할 세 가지와 재정 건전화를 위한 관리 방향 세 가지를 제안하며, 분석 보고서를 붙임으로 발표합니다. 많은 보도 부탁드립니다.</w:t>
      </w:r>
    </w:p>
    <w:tbl>
      <w:tblPr>
        <w:tblW w:w="9638" w:type="dxa"/>
        <w:tblBorders>
          <w:top w:val="single" w:sz="4" w:space="0" w:color="CCCCCC"/>
          <w:left w:val="none"/>
          <w:bottom w:val="none"/>
          <w:right w:val="none"/>
          <w:insideH w:val="none"/>
          <w:insideV w:val="none"/>
        </w:tblBorders>
        <w:tblLook w:val="04A0" w:firstRow="1" w:lastRow="0" w:firstColumn="1" w:lastColumn="0" w:noHBand="0" w:noVBand="1"/>
      </w:tblPr>
      <w:tblGrid>
        <w:gridCol w:w="9638"/>
      </w:tblGrid>
      <w:tr>
        <w:tc>
          <w:tcPr>
            <w:tcW w:w="9638" w:type="dxa"/>
            <w:tcBorders>
              <w:top w:val="single" w:sz="4" w:space="0" w:color="CCCCCC"/>
              <w:left w:val="none"/>
              <w:bottom w:val="none"/>
              <w:right w:val="none"/>
            </w:tcBorders>
            <w:tcMar>
              <w:top w:w="0" w:type="dxa"/>
              <w:left w:w="0" w:type="dxa"/>
              <w:bottom w:w="0" w:type="dxa"/>
              <w:right w:w="0" w:type="dxa"/>
            </w:tcMar>
          </w:tcPr>
          <w:p>
            <w:pPr>
              <w:spacing w:after="0" w:line="40"/>
            </w:pPr>
          </w:p>
        </w:tc>
      </w:tr>
    </w:tbl>
    <w:p>
      <w:pPr>
        <w:jc w:val="both"/>
        <w:spacing w:after="80" w:before="0" w:line="384" w:lineRule="auto"/>
      </w:pPr>
    </w:p>
    <w:p>
      <w:pPr>
        <w:jc w:val="left"/>
        <w:spacing w:after="140" w:before="320" w:line="384" w:lineRule="auto"/>
      </w:pPr>
      <w:r>
        <w:rPr>
          <w:rFonts w:ascii="Arial" w:eastAsia="맑은 고딕" w:hAnsi="Arial"/>
          <w:b/>
          <w:bCs/>
          <w:sz w:val="26"/>
          <w:szCs w:val="26"/>
        </w:rPr>
        <w:t>2025회계연도 대전광역시 결산 분석 — 재정 진단과 관리 방향</w:t>
      </w:r>
    </w:p>
    <w:p>
      <w:pPr>
        <w:jc w:val="left"/>
        <w:spacing w:after="100" w:before="240" w:line="384" w:lineRule="auto"/>
      </w:pPr>
      <w:r>
        <w:rPr>
          <w:rFonts w:ascii="Arial" w:eastAsia="맑은 고딕" w:hAnsi="Arial"/>
          <w:b/>
          <w:bCs/>
          <w:sz w:val="22"/>
          <w:szCs w:val="22"/>
        </w:rPr>
        <w:t>1. 법정 기준으로 본 대전시의 현재 위치</w:t>
      </w:r>
    </w:p>
    <w:p>
      <w:pPr>
        <w:jc w:val="center"/>
        <w:spacing w:after="60" w:before="160" w:line="384" w:lineRule="auto"/>
      </w:pPr>
      <w:r>
        <w:rPr>
          <w:rFonts w:ascii="Arial" w:eastAsia="맑은 고딕" w:hAnsi="Arial"/>
          <w:b/>
          <w:bCs/>
          <w:sz w:val="20"/>
          <w:szCs w:val="20"/>
        </w:rPr>
        <w:t>&lt;표 1&gt; 재정위기 판정 지표와 대전시의 위치</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4360"/>
        <w:gridCol w:w="1606"/>
        <w:gridCol w:w="1607"/>
      </w:tblGrid>
      <w:tr>
        <w:trPr>
          <w:tblHeader/>
        </w:trPr>
        <w:tc>
          <w:tcPr>
            <w:tcW w:w="206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법정 지표</w:t>
            </w:r>
          </w:p>
        </w:tc>
        <w:tc>
          <w:tcPr>
            <w:tcW w:w="436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대전시</w:t>
            </w:r>
          </w:p>
        </w:tc>
        <w:tc>
          <w:tcPr>
            <w:tcW w:w="16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주의 기준</w:t>
            </w:r>
          </w:p>
        </w:tc>
        <w:tc>
          <w:tcPr>
            <w:tcW w:w="16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위기 기준</w:t>
            </w:r>
          </w:p>
        </w:tc>
      </w:tr>
      <w:tr>
        <w:trPr/>
        <w:tc>
          <w:tcPr>
            <w:tcW w:w="206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통합재정수지비율</w:t>
            </w:r>
          </w:p>
        </w:tc>
        <w:tc>
          <w:tcPr>
            <w:tcW w:w="436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△5.51%(2024 공시)</w:t>
            </w:r>
          </w:p>
        </w:tc>
        <w:tc>
          <w:tcPr>
            <w:tcW w:w="16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△25% 초과</w:t>
            </w:r>
          </w:p>
        </w:tc>
        <w:tc>
          <w:tcPr>
            <w:tcW w:w="16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△30% 초과</w:t>
            </w:r>
          </w:p>
        </w:tc>
      </w:tr>
      <w:tr>
        <w:trPr/>
        <w:tc>
          <w:tcPr>
            <w:tcW w:w="206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예산대비 채무비율</w:t>
            </w:r>
          </w:p>
        </w:tc>
        <w:tc>
          <w:tcPr>
            <w:tcW w:w="436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18.5%(2025 추정)</w:t>
            </w:r>
          </w:p>
        </w:tc>
        <w:tc>
          <w:tcPr>
            <w:tcW w:w="16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25% 초과</w:t>
            </w:r>
          </w:p>
        </w:tc>
        <w:tc>
          <w:tcPr>
            <w:tcW w:w="16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40% 초과</w:t>
            </w:r>
          </w:p>
        </w:tc>
      </w:tr>
      <w:tr>
        <w:trPr/>
        <w:tc>
          <w:tcPr>
            <w:tcW w:w="206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채무상환비 비율</w:t>
            </w:r>
          </w:p>
        </w:tc>
        <w:tc>
          <w:tcPr>
            <w:tcW w:w="436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약 4.6~4.8%(2025 추정)</w:t>
            </w:r>
          </w:p>
        </w:tc>
        <w:tc>
          <w:tcPr>
            <w:tcW w:w="16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12% 초과</w:t>
            </w:r>
          </w:p>
        </w:tc>
        <w:tc>
          <w:tcPr>
            <w:tcW w:w="16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17% 초과</w:t>
            </w:r>
          </w:p>
        </w:tc>
      </w:tr>
      <w:tr>
        <w:trPr/>
        <w:tc>
          <w:tcPr>
            <w:tcW w:w="206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지방세징수액 비율</w:t>
            </w:r>
          </w:p>
        </w:tc>
        <w:tc>
          <w:tcPr>
            <w:tcW w:w="436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95.6%(2024 공시)</w:t>
            </w:r>
          </w:p>
        </w:tc>
        <w:tc>
          <w:tcPr>
            <w:tcW w:w="16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80% 미만</w:t>
            </w:r>
          </w:p>
        </w:tc>
        <w:tc>
          <w:tcPr>
            <w:tcW w:w="16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70% 미만</w:t>
            </w:r>
          </w:p>
        </w:tc>
      </w:tr>
      <w:tr>
        <w:trPr/>
        <w:tc>
          <w:tcPr>
            <w:tcW w:w="206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금고잔액비율</w:t>
            </w:r>
          </w:p>
        </w:tc>
        <w:tc>
          <w:tcPr>
            <w:tcW w:w="436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자료 없음</w:t>
            </w:r>
          </w:p>
        </w:tc>
        <w:tc>
          <w:tcPr>
            <w:tcW w:w="16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 미만</w:t>
            </w:r>
          </w:p>
        </w:tc>
        <w:tc>
          <w:tcPr>
            <w:tcW w:w="16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 미만</w:t>
            </w:r>
          </w:p>
        </w:tc>
      </w:tr>
      <w:tr>
        <w:trPr/>
        <w:tc>
          <w:tcPr>
            <w:tcW w:w="206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공기업 부채비율</w:t>
            </w:r>
          </w:p>
        </w:tc>
        <w:tc>
          <w:tcPr>
            <w:tcW w:w="436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20.64%(2024 공시)</w:t>
            </w:r>
          </w:p>
        </w:tc>
        <w:tc>
          <w:tcPr>
            <w:tcW w:w="16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400% 초과</w:t>
            </w:r>
          </w:p>
        </w:tc>
        <w:tc>
          <w:tcPr>
            <w:tcW w:w="16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600% 초과</w:t>
            </w:r>
          </w:p>
        </w:tc>
      </w:tr>
    </w:tbl>
    <w:p>
      <w:pPr>
        <w:spacing w:after="0"/>
      </w:pPr>
    </w:p>
    <w:p>
      <w:pPr>
        <w:jc w:val="left"/>
        <w:spacing w:after="120" w:before="0" w:line="384" w:lineRule="auto"/>
      </w:pPr>
      <w:r>
        <w:rPr>
          <w:rFonts w:ascii="Arial" w:eastAsia="맑은 고딕" w:hAnsi="Arial"/>
          <w:b w:val="0"/>
          <w:bCs w:val="0"/>
          <w:sz w:val="16"/>
          <w:szCs w:val="16"/>
        </w:rPr>
        <w:t xml:space="preserve">출처: 지방재정법 제55조의2, 같은 법 시행령 제65조의3(2026년 9월 3일 현행). 지표값은 지방재정365 공시지표와 2025회계연도 결산서. 2025년 값은 공시 전이어서 각 지표의 공시 산식을 2024년 이전 공시값에서 역산해 적용한 추정치이며, </w:t>
      </w:r>
      <w:r>
        <w:rPr>
          <w:rFonts w:ascii="Arial" w:eastAsia="맑은 고딕" w:hAnsi="Arial"/>
          <w:b/>
          <w:bCs/>
          <w:sz w:val="16"/>
          <w:szCs w:val="16"/>
        </w:rPr>
        <w:t>통합재정수지비율·지방세징수액 비율·공기업 부채비율 세 지표는 2024년 공시값을 적었습니다.</w:t>
      </w:r>
      <w:r>
        <w:rPr>
          <w:rFonts w:ascii="Arial" w:eastAsia="맑은 고딕" w:hAnsi="Arial"/>
          <w:b w:val="0"/>
          <w:bCs w:val="0"/>
          <w:sz w:val="16"/>
          <w:szCs w:val="16"/>
        </w:rPr>
        <w:t xml:space="preserve"> 통합재정수지비율은 공시 산식이 확정되지 않았고, 지방세징수액 비율은 징수결정액 분해 자료가 없어 2025년 산출을 보류했습니다. 공기업 부채비율은 2025년 결산서(공사 3곳·공단 1곳) 기준으로 계산하면 47.0%이지만 공시 계열의 대상 기관 범위가 이보다 넓어 앞 연도와 이어서 볼 수 없으므로, 표에는 2024년 공시값을 실었습니다(붙임 보고서 표 8 참조).</w:t>
      </w:r>
    </w:p>
    <w:p>
      <w:pPr>
        <w:ind w:firstLine="200"/>
        <w:jc w:val="both"/>
        <w:spacing w:after="60" w:before="0" w:line="384" w:lineRule="auto"/>
      </w:pPr>
      <w:r>
        <w:rPr>
          <w:rFonts w:ascii="Arial" w:eastAsia="맑은 고딕" w:hAnsi="Arial"/>
          <w:b/>
          <w:bCs/>
          <w:sz w:val="20"/>
          <w:szCs w:val="20"/>
        </w:rPr>
        <w:t>금고잔액비율을 뺀 다섯 지표 가운데 어느 하나도 주의 구간에 들어와 있지 않습니다.</w:t>
      </w:r>
      <w:r>
        <w:rPr>
          <w:rFonts w:ascii="Arial" w:eastAsia="맑은 고딕" w:hAnsi="Arial"/>
          <w:b w:val="0"/>
          <w:bCs w:val="0"/>
          <w:sz w:val="20"/>
          <w:szCs w:val="20"/>
        </w:rPr>
        <w:t xml:space="preserve"> 금고잔액비율은 공시 지표에도 결산서에도 원천 자료가 없어 판정하지 못했습니다. 다만 예산대비 채무비율만 뚜렷한 상승 추세로, 2019년 8.83%에서 2024년 17.50%로 5년 만에 두 배가 됐습니다.</w:t>
      </w:r>
    </w:p>
    <w:p>
      <w:pPr>
        <w:jc w:val="left"/>
        <w:spacing w:after="100" w:before="240" w:line="384" w:lineRule="auto"/>
      </w:pPr>
      <w:r>
        <w:rPr>
          <w:rFonts w:ascii="Arial" w:eastAsia="맑은 고딕" w:hAnsi="Arial"/>
          <w:b/>
          <w:bCs/>
          <w:sz w:val="22"/>
          <w:szCs w:val="22"/>
        </w:rPr>
        <w:t>2. 문제의 본질 — 스스로 버는 돈이 제자리다</w:t>
      </w:r>
    </w:p>
    <w:p>
      <w:pPr>
        <w:jc w:val="center"/>
        <w:spacing w:after="60" w:before="160" w:line="384" w:lineRule="auto"/>
      </w:pPr>
      <w:r>
        <w:rPr>
          <w:rFonts w:ascii="Arial" w:eastAsia="맑은 고딕" w:hAnsi="Arial"/>
          <w:b/>
          <w:bCs/>
          <w:sz w:val="20"/>
          <w:szCs w:val="20"/>
        </w:rPr>
        <w:t>&lt;표 2&gt; 대전시 자체수입 5년 추이 (단위: 억원)</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
        <w:gridCol w:w="1752"/>
        <w:gridCol w:w="1752"/>
        <w:gridCol w:w="1752"/>
        <w:gridCol w:w="1752"/>
        <w:gridCol w:w="1535"/>
      </w:tblGrid>
      <w:tr>
        <w:trPr>
          <w:tblHeader/>
        </w:trPr>
        <w:tc>
          <w:tcPr>
            <w:tcW w:w="109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연도</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지방세</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세외수입</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자체수입</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세입 총액</w:t>
            </w:r>
          </w:p>
        </w:tc>
        <w:tc>
          <w:tcPr>
            <w:tcW w:w="15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자체수입 비율</w:t>
            </w:r>
          </w:p>
        </w:tc>
      </w:tr>
      <w:tr>
        <w:trPr/>
        <w:tc>
          <w:tcPr>
            <w:tcW w:w="109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2021</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21,144.8</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5,428.9</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26,573.7</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73,128.1</w:t>
            </w:r>
          </w:p>
        </w:tc>
        <w:tc>
          <w:tcPr>
            <w:tcW w:w="15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36.34%</w:t>
            </w:r>
          </w:p>
        </w:tc>
      </w:tr>
      <w:tr>
        <w:trPr/>
        <w:tc>
          <w:tcPr>
            <w:tcW w:w="109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2022</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21,741.0</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5,924.2</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27,665.2</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75,724.4</w:t>
            </w:r>
          </w:p>
        </w:tc>
        <w:tc>
          <w:tcPr>
            <w:tcW w:w="15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36.53%</w:t>
            </w:r>
          </w:p>
        </w:tc>
      </w:tr>
      <w:tr>
        <w:trPr/>
        <w:tc>
          <w:tcPr>
            <w:tcW w:w="109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2023</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20,121.1</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5,792.8</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25,913.9</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71,561.3</w:t>
            </w:r>
          </w:p>
        </w:tc>
        <w:tc>
          <w:tcPr>
            <w:tcW w:w="15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36.21%</w:t>
            </w:r>
          </w:p>
        </w:tc>
      </w:tr>
      <w:tr>
        <w:trPr/>
        <w:tc>
          <w:tcPr>
            <w:tcW w:w="109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2024</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20,323.0</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6,273.3</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26,596.3</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74,651.1</w:t>
            </w:r>
          </w:p>
        </w:tc>
        <w:tc>
          <w:tcPr>
            <w:tcW w:w="15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35.63%</w:t>
            </w:r>
          </w:p>
        </w:tc>
      </w:tr>
      <w:tr>
        <w:trPr/>
        <w:tc>
          <w:tcPr>
            <w:tcW w:w="109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2025</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21,735.1</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6,708.0</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28,443.0</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82,707.0</w:t>
            </w:r>
          </w:p>
        </w:tc>
        <w:tc>
          <w:tcPr>
            <w:tcW w:w="15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34.39%</w:t>
            </w:r>
          </w:p>
        </w:tc>
      </w:tr>
      <w:tr>
        <w:trPr/>
        <w:tc>
          <w:tcPr>
            <w:tcW w:w="109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5년 증감</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+590.3</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+1,279.1</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+7.0%</w:t>
            </w:r>
          </w:p>
        </w:tc>
        <w:tc>
          <w:tcPr>
            <w:tcW w:w="17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+13.1%</w:t>
            </w:r>
          </w:p>
        </w:tc>
        <w:tc>
          <w:tcPr>
            <w:tcW w:w="15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△1.95%p</w:t>
            </w:r>
          </w:p>
        </w:tc>
      </w:tr>
    </w:tbl>
    <w:p>
      <w:pPr>
        <w:spacing w:after="0"/>
      </w:pPr>
    </w:p>
    <w:p>
      <w:pPr>
        <w:jc w:val="left"/>
        <w:spacing w:after="120" w:before="0" w:line="384" w:lineRule="auto"/>
      </w:pPr>
      <w:r>
        <w:rPr>
          <w:rFonts w:ascii="Arial" w:eastAsia="맑은 고딕" w:hAnsi="Arial"/>
          <w:b w:val="0"/>
          <w:bCs w:val="0"/>
          <w:sz w:val="16"/>
          <w:szCs w:val="16"/>
        </w:rPr>
        <w:t>출처: 지방재정365 재원별 세입결산(2021~2024)과 2025회계연도 결산서 첨부서류</w:t>
      </w:r>
    </w:p>
    <w:p>
      <w:pPr>
        <w:ind w:firstLine="200"/>
        <w:jc w:val="both"/>
        <w:spacing w:after="60" w:before="0" w:line="384" w:lineRule="auto"/>
      </w:pPr>
      <w:r>
        <w:rPr>
          <w:rFonts w:ascii="Arial" w:eastAsia="맑은 고딕" w:hAnsi="Arial"/>
          <w:b w:val="0"/>
          <w:bCs w:val="0"/>
          <w:sz w:val="20"/>
          <w:szCs w:val="20"/>
        </w:rPr>
        <w:t xml:space="preserve">금액은 늘었지만 비율은 떨어졌습니다. 세입 총액이 13.1%, 세출이 14.8% 늘어 </w:t>
      </w:r>
      <w:r>
        <w:rPr>
          <w:rFonts w:ascii="Arial" w:eastAsia="맑은 고딕" w:hAnsi="Arial"/>
          <w:b/>
          <w:bCs/>
          <w:sz w:val="20"/>
          <w:szCs w:val="20"/>
        </w:rPr>
        <w:t>자체수입 증가 속도(7.0%)의 두 배</w:t>
      </w:r>
      <w:r>
        <w:rPr>
          <w:rFonts w:ascii="Arial" w:eastAsia="맑은 고딕" w:hAnsi="Arial"/>
          <w:b w:val="0"/>
          <w:bCs w:val="0"/>
          <w:sz w:val="20"/>
          <w:szCs w:val="20"/>
        </w:rPr>
        <w:t xml:space="preserve">였기 때문입니다. </w:t>
      </w:r>
      <w:r>
        <w:rPr>
          <w:rFonts w:ascii="Arial" w:eastAsia="맑은 고딕" w:hAnsi="Arial"/>
          <w:b/>
          <w:bCs/>
          <w:sz w:val="20"/>
          <w:szCs w:val="20"/>
        </w:rPr>
        <w:t>지방세는 2022년 수준을 3년째 회복하지 못했습니다</w:t>
      </w:r>
      <w:r>
        <w:rPr>
          <w:rFonts w:ascii="Arial" w:eastAsia="맑은 고딕" w:hAnsi="Arial"/>
          <w:b w:val="0"/>
          <w:bCs w:val="0"/>
          <w:sz w:val="20"/>
          <w:szCs w:val="20"/>
        </w:rPr>
        <w:t>(2025년 2조 1,735억 원 대 2022년 2조 1,741억 원).</w:t>
      </w:r>
    </w:p>
    <w:p>
      <w:pPr>
        <w:ind w:firstLine="200"/>
        <w:jc w:val="both"/>
        <w:spacing w:after="60" w:before="0" w:line="384" w:lineRule="auto"/>
      </w:pPr>
      <w:r>
        <w:rPr>
          <w:rFonts w:ascii="Arial" w:eastAsia="맑은 고딕" w:hAnsi="Arial"/>
          <w:b w:val="0"/>
          <w:bCs w:val="0"/>
          <w:sz w:val="20"/>
          <w:szCs w:val="20"/>
        </w:rPr>
        <w:t xml:space="preserve">2025년 세입 증가 8,056억 원의 구성을 보면 국고보조금이 7,922억 원(98.3%)이고, 지방세 1,412억 원·세외수입 435억 원이 늘었으나 지방교부세·지방채·보전수입 등이 줄어 상쇄했습니다. </w:t>
      </w:r>
      <w:r>
        <w:rPr>
          <w:rFonts w:ascii="Arial" w:eastAsia="맑은 고딕" w:hAnsi="Arial"/>
          <w:b/>
          <w:bCs/>
          <w:sz w:val="20"/>
          <w:szCs w:val="20"/>
        </w:rPr>
        <w:t>세입 규모가 커진 것을 살림살이가 나아진 것으로 읽을 수 없는 이유가 여기에 있습니다.</w:t>
      </w:r>
      <w:r>
        <w:rPr>
          <w:rFonts w:ascii="Arial" w:eastAsia="맑은 고딕" w:hAnsi="Arial"/>
          <w:b w:val="0"/>
          <w:bCs w:val="0"/>
          <w:sz w:val="20"/>
          <w:szCs w:val="20"/>
        </w:rPr>
        <w:t xml:space="preserve"> 국고보조금은 쓰임이 정해져 있어 시가 재량으로 쓸 수 없는 돈입니다.</w:t>
      </w:r>
    </w:p>
    <w:p>
      <w:pPr>
        <w:ind w:firstLine="200"/>
        <w:jc w:val="both"/>
        <w:spacing w:after="60" w:before="0" w:line="384" w:lineRule="auto"/>
      </w:pPr>
      <w:r>
        <w:rPr>
          <w:rFonts w:ascii="Arial" w:eastAsia="맑은 고딕" w:hAnsi="Arial"/>
          <w:b w:val="0"/>
          <w:bCs w:val="0"/>
          <w:sz w:val="20"/>
          <w:szCs w:val="20"/>
        </w:rPr>
        <w:t xml:space="preserve">6개 광역시 자체수입 비율(2024년)은 인천 43.66%, 울산 40.19%, 대구 37.28%, 부산 37.24%, </w:t>
      </w:r>
      <w:r>
        <w:rPr>
          <w:rFonts w:ascii="Arial" w:eastAsia="맑은 고딕" w:hAnsi="Arial"/>
          <w:b/>
          <w:bCs/>
          <w:sz w:val="20"/>
          <w:szCs w:val="20"/>
        </w:rPr>
        <w:t>대전 35.63%</w:t>
      </w:r>
      <w:r>
        <w:rPr>
          <w:rFonts w:ascii="Arial" w:eastAsia="맑은 고딕" w:hAnsi="Arial"/>
          <w:b w:val="0"/>
          <w:bCs w:val="0"/>
          <w:sz w:val="20"/>
          <w:szCs w:val="20"/>
        </w:rPr>
        <w:t>, 광주 31.59%로 대전은 다섯째입니다.</w:t>
      </w:r>
    </w:p>
    <w:p>
      <w:pPr>
        <w:jc w:val="left"/>
        <w:spacing w:after="100" w:before="240" w:line="384" w:lineRule="auto"/>
      </w:pPr>
      <w:r>
        <w:rPr>
          <w:rFonts w:ascii="Arial" w:eastAsia="맑은 고딕" w:hAnsi="Arial"/>
          <w:b/>
          <w:bCs/>
          <w:sz w:val="22"/>
          <w:szCs w:val="22"/>
        </w:rPr>
        <w:t>3. 빚으로 벌인 사업의 집행이 계획을 따라가지 못한다</w:t>
      </w:r>
    </w:p>
    <w:p>
      <w:pPr>
        <w:ind w:firstLine="200"/>
        <w:jc w:val="both"/>
        <w:spacing w:after="60" w:before="0" w:line="384" w:lineRule="auto"/>
      </w:pPr>
      <w:r>
        <w:rPr>
          <w:rFonts w:ascii="Arial" w:eastAsia="맑은 고딕" w:hAnsi="Arial"/>
          <w:b w:val="0"/>
          <w:bCs w:val="0"/>
          <w:sz w:val="20"/>
          <w:szCs w:val="20"/>
        </w:rPr>
        <w:t xml:space="preserve">2025년 말 대전시 본청 채무는 </w:t>
      </w:r>
      <w:r>
        <w:rPr>
          <w:rFonts w:ascii="Arial" w:eastAsia="맑은 고딕" w:hAnsi="Arial"/>
          <w:b/>
          <w:bCs/>
          <w:sz w:val="20"/>
          <w:szCs w:val="20"/>
        </w:rPr>
        <w:t>1조 5,864억 원</w:t>
      </w:r>
      <w:r>
        <w:rPr>
          <w:rFonts w:ascii="Arial" w:eastAsia="맑은 고딕" w:hAnsi="Arial"/>
          <w:b w:val="0"/>
          <w:bCs w:val="0"/>
          <w:sz w:val="20"/>
          <w:szCs w:val="20"/>
        </w:rPr>
        <w:t xml:space="preserve">입니다. 2019년 5,960억 원에서 6년 만에 2.66배, 2022년 말 1조 43억 원과 비교하면 3년 만에 </w:t>
      </w:r>
      <w:r>
        <w:rPr>
          <w:rFonts w:ascii="Arial" w:eastAsia="맑은 고딕" w:hAnsi="Arial"/>
          <w:b/>
          <w:bCs/>
          <w:sz w:val="20"/>
          <w:szCs w:val="20"/>
        </w:rPr>
        <w:t>58%</w:t>
      </w:r>
      <w:r>
        <w:rPr>
          <w:rFonts w:ascii="Arial" w:eastAsia="맑은 고딕" w:hAnsi="Arial"/>
          <w:b w:val="0"/>
          <w:bCs w:val="0"/>
          <w:sz w:val="20"/>
          <w:szCs w:val="20"/>
        </w:rPr>
        <w:t xml:space="preserve"> 늘었습니다. </w:t>
      </w:r>
      <w:r>
        <w:rPr>
          <w:rFonts w:ascii="Arial" w:eastAsia="맑은 고딕" w:hAnsi="Arial"/>
          <w:b/>
          <w:bCs/>
          <w:sz w:val="20"/>
          <w:szCs w:val="20"/>
        </w:rPr>
        <w:t>2019년과 비교하면 같은 기간 세출은 1.53배</w:t>
      </w:r>
      <w:r>
        <w:rPr>
          <w:rFonts w:ascii="Arial" w:eastAsia="맑은 고딕" w:hAnsi="Arial"/>
          <w:b w:val="0"/>
          <w:bCs w:val="0"/>
          <w:sz w:val="20"/>
          <w:szCs w:val="20"/>
        </w:rPr>
        <w:t xml:space="preserve"> 늘었습니다. </w:t>
      </w:r>
      <w:r>
        <w:rPr>
          <w:rFonts w:ascii="Arial" w:eastAsia="맑은 고딕" w:hAnsi="Arial"/>
          <w:b/>
          <w:bCs/>
          <w:sz w:val="20"/>
          <w:szCs w:val="20"/>
        </w:rPr>
        <w:t>빚이 살림보다 훨씬 빠르게 늘었습니다.</w:t>
      </w:r>
    </w:p>
    <w:p>
      <w:pPr>
        <w:ind w:firstLine="200"/>
        <w:jc w:val="both"/>
        <w:spacing w:after="60" w:before="0" w:line="384" w:lineRule="auto"/>
      </w:pPr>
      <w:r>
        <w:rPr>
          <w:rFonts w:ascii="Arial" w:eastAsia="맑은 고딕" w:hAnsi="Arial"/>
          <w:b w:val="0"/>
          <w:bCs w:val="0"/>
          <w:sz w:val="20"/>
          <w:szCs w:val="20"/>
        </w:rPr>
        <w:t xml:space="preserve">대표 사업은 도시철도 2호선(트램)입니다. 2025년 예산현액 3,204.8억 원 가운데 2,167.6억 원(67.6%)만 집행하고 </w:t>
      </w:r>
      <w:r>
        <w:rPr>
          <w:rFonts w:ascii="Arial" w:eastAsia="맑은 고딕" w:hAnsi="Arial"/>
          <w:b/>
          <w:bCs/>
          <w:sz w:val="20"/>
          <w:szCs w:val="20"/>
        </w:rPr>
        <w:t>1,036.9억 원을 이월</w:t>
      </w:r>
      <w:r>
        <w:rPr>
          <w:rFonts w:ascii="Arial" w:eastAsia="맑은 고딕" w:hAnsi="Arial"/>
          <w:b w:val="0"/>
          <w:bCs w:val="0"/>
          <w:sz w:val="20"/>
          <w:szCs w:val="20"/>
        </w:rPr>
        <w:t xml:space="preserve">했는데, 결산서에 적힌 이월 사유는 "트램차량제작 및 공사 등 집행시기 미도래" </w:t>
      </w:r>
      <w:r>
        <w:rPr>
          <w:rFonts w:ascii="Arial" w:eastAsia="맑은 고딕" w:hAnsi="Arial"/>
          <w:b/>
          <w:bCs/>
          <w:sz w:val="20"/>
          <w:szCs w:val="20"/>
        </w:rPr>
        <w:t>한 문장</w:t>
      </w:r>
      <w:r>
        <w:rPr>
          <w:rFonts w:ascii="Arial" w:eastAsia="맑은 고딕" w:hAnsi="Arial"/>
          <w:b w:val="0"/>
          <w:bCs w:val="0"/>
          <w:sz w:val="20"/>
          <w:szCs w:val="20"/>
        </w:rPr>
        <w:t xml:space="preserve">이 전부입니다. 국비 1,846억 원은 100% 집행된 반면 시비는 1,231.5억 원 중 </w:t>
      </w:r>
      <w:r>
        <w:rPr>
          <w:rFonts w:ascii="Arial" w:eastAsia="맑은 고딕" w:hAnsi="Arial"/>
          <w:b/>
          <w:bCs/>
          <w:sz w:val="20"/>
          <w:szCs w:val="20"/>
        </w:rPr>
        <w:t>21.6%</w:t>
      </w:r>
      <w:r>
        <w:rPr>
          <w:rFonts w:ascii="Arial" w:eastAsia="맑은 고딕" w:hAnsi="Arial"/>
          <w:b w:val="0"/>
          <w:bCs w:val="0"/>
          <w:sz w:val="20"/>
          <w:szCs w:val="20"/>
        </w:rPr>
        <w:t>만 집행됐습니다.</w:t>
      </w:r>
    </w:p>
    <w:p>
      <w:pPr>
        <w:ind w:firstLine="200"/>
        <w:jc w:val="both"/>
        <w:spacing w:after="60" w:before="0" w:line="384" w:lineRule="auto"/>
      </w:pPr>
      <w:r>
        <w:rPr>
          <w:rFonts w:ascii="Arial" w:eastAsia="맑은 고딕" w:hAnsi="Arial"/>
          <w:b w:val="0"/>
          <w:bCs w:val="0"/>
          <w:sz w:val="20"/>
          <w:szCs w:val="20"/>
        </w:rPr>
        <w:t xml:space="preserve">같은 해 이 회계는 지방채 973억 원을 </w:t>
      </w:r>
      <w:r>
        <w:rPr>
          <w:rFonts w:ascii="Arial" w:eastAsia="맑은 고딕" w:hAnsi="Arial"/>
          <w:b/>
          <w:bCs/>
          <w:sz w:val="20"/>
          <w:szCs w:val="20"/>
        </w:rPr>
        <w:t>모두 하반기(7월·8월·12월)에 발행</w:t>
      </w:r>
      <w:r>
        <w:rPr>
          <w:rFonts w:ascii="Arial" w:eastAsia="맑은 고딕" w:hAnsi="Arial"/>
          <w:b w:val="0"/>
          <w:bCs w:val="0"/>
          <w:sz w:val="20"/>
          <w:szCs w:val="20"/>
        </w:rPr>
        <w:t xml:space="preserve">했고, 그중 </w:t>
      </w:r>
      <w:r>
        <w:rPr>
          <w:rFonts w:ascii="Arial" w:eastAsia="맑은 고딕" w:hAnsi="Arial"/>
          <w:b/>
          <w:bCs/>
          <w:sz w:val="20"/>
          <w:szCs w:val="20"/>
        </w:rPr>
        <w:t>590억 원은 12월 22일 — 연말까지 9일밖에 남지 않은 시점</w:t>
      </w:r>
      <w:r>
        <w:rPr>
          <w:rFonts w:ascii="Arial" w:eastAsia="맑은 고딕" w:hAnsi="Arial"/>
          <w:b w:val="0"/>
          <w:bCs w:val="0"/>
          <w:sz w:val="20"/>
          <w:szCs w:val="20"/>
        </w:rPr>
        <w:t xml:space="preserve">의 조달이었습니다. 회계의 채무 잔액은 158억 원에서 1,129억 원이 됐습니다. </w:t>
      </w:r>
      <w:r>
        <w:rPr>
          <w:rFonts w:ascii="Arial" w:eastAsia="맑은 고딕" w:hAnsi="Arial"/>
          <w:b/>
          <w:bCs/>
          <w:sz w:val="20"/>
          <w:szCs w:val="20"/>
        </w:rPr>
        <w:t>조달과 집행의 시점이 벌어지면 쓰지 않은 돈에 이자가 붙습니다.</w:t>
      </w:r>
      <w:r>
        <w:rPr>
          <w:rFonts w:ascii="Arial" w:eastAsia="맑은 고딕" w:hAnsi="Arial"/>
          <w:b w:val="0"/>
          <w:bCs w:val="0"/>
          <w:sz w:val="20"/>
          <w:szCs w:val="20"/>
        </w:rPr>
        <w:t xml:space="preserve"> 다만 2025년 이 회계의 실제 이자 지출은 3억 7,472만 원으로 연초 편성액과 거의 같아 기존 채무의 이자로 보이며, 신규 발행분의 이자 부담은 2026년 결산에서 드러날 것으로 보입니다.</w:t>
      </w:r>
    </w:p>
    <w:p>
      <w:pPr>
        <w:ind w:firstLine="200"/>
        <w:jc w:val="both"/>
        <w:spacing w:after="60" w:before="0" w:line="384" w:lineRule="auto"/>
      </w:pPr>
      <w:r>
        <w:rPr>
          <w:rFonts w:ascii="Arial" w:eastAsia="맑은 고딕" w:hAnsi="Arial"/>
          <w:b w:val="0"/>
          <w:bCs w:val="0"/>
          <w:sz w:val="20"/>
          <w:szCs w:val="20"/>
        </w:rPr>
        <w:t xml:space="preserve">세부사업으로 보면 예산현액 50억 원 이상이면서 집행률이 60%에 못 미친 사업이 </w:t>
      </w:r>
      <w:r>
        <w:rPr>
          <w:rFonts w:ascii="Arial" w:eastAsia="맑은 고딕" w:hAnsi="Arial"/>
          <w:b/>
          <w:bCs/>
          <w:sz w:val="20"/>
          <w:szCs w:val="20"/>
        </w:rPr>
        <w:t>18건</w:t>
      </w:r>
      <w:r>
        <w:rPr>
          <w:rFonts w:ascii="Arial" w:eastAsia="맑은 고딕" w:hAnsi="Arial"/>
          <w:b w:val="0"/>
          <w:bCs w:val="0"/>
          <w:sz w:val="20"/>
          <w:szCs w:val="20"/>
        </w:rPr>
        <w:t xml:space="preserve">이고, 그중 3년 연속 집행률 70% 미만이 </w:t>
      </w:r>
      <w:r>
        <w:rPr>
          <w:rFonts w:ascii="Arial" w:eastAsia="맑은 고딕" w:hAnsi="Arial"/>
          <w:b/>
          <w:bCs/>
          <w:sz w:val="20"/>
          <w:szCs w:val="20"/>
        </w:rPr>
        <w:t>11건</w:t>
      </w:r>
      <w:r>
        <w:rPr>
          <w:rFonts w:ascii="Arial" w:eastAsia="맑은 고딕" w:hAnsi="Arial"/>
          <w:b w:val="0"/>
          <w:bCs w:val="0"/>
          <w:sz w:val="20"/>
          <w:szCs w:val="20"/>
        </w:rPr>
        <w:t xml:space="preserve">입니다. 가장 낮은 셋은 지하차도 진입차단시설 설치 </w:t>
      </w:r>
      <w:r>
        <w:rPr>
          <w:rFonts w:ascii="Arial" w:eastAsia="맑은 고딕" w:hAnsi="Arial"/>
          <w:b/>
          <w:bCs/>
          <w:sz w:val="20"/>
          <w:szCs w:val="20"/>
        </w:rPr>
        <w:t>0.9%</w:t>
      </w:r>
      <w:r>
        <w:rPr>
          <w:rFonts w:ascii="Arial" w:eastAsia="맑은 고딕" w:hAnsi="Arial"/>
          <w:b w:val="0"/>
          <w:bCs w:val="0"/>
          <w:sz w:val="20"/>
          <w:szCs w:val="20"/>
        </w:rPr>
        <w:t xml:space="preserve">, 대덕특구 융합연구혁신센터 조성 </w:t>
      </w:r>
      <w:r>
        <w:rPr>
          <w:rFonts w:ascii="Arial" w:eastAsia="맑은 고딕" w:hAnsi="Arial"/>
          <w:b/>
          <w:bCs/>
          <w:sz w:val="20"/>
          <w:szCs w:val="20"/>
        </w:rPr>
        <w:t>4.3%</w:t>
      </w:r>
      <w:r>
        <w:rPr>
          <w:rFonts w:ascii="Arial" w:eastAsia="맑은 고딕" w:hAnsi="Arial"/>
          <w:b w:val="0"/>
          <w:bCs w:val="0"/>
          <w:sz w:val="20"/>
          <w:szCs w:val="20"/>
        </w:rPr>
        <w:t xml:space="preserve">, 융복합 특수영상 콘텐츠 클러스터 조성 </w:t>
      </w:r>
      <w:r>
        <w:rPr>
          <w:rFonts w:ascii="Arial" w:eastAsia="맑은 고딕" w:hAnsi="Arial"/>
          <w:b/>
          <w:bCs/>
          <w:sz w:val="20"/>
          <w:szCs w:val="20"/>
        </w:rPr>
        <w:t>6.2%</w:t>
      </w:r>
      <w:r>
        <w:rPr>
          <w:rFonts w:ascii="Arial" w:eastAsia="맑은 고딕" w:hAnsi="Arial"/>
          <w:b w:val="0"/>
          <w:bCs w:val="0"/>
          <w:sz w:val="20"/>
          <w:szCs w:val="20"/>
        </w:rPr>
        <w:t>입니다. 사업별 명단은 붙임 보고서 첨부 1·2에 실었습니다.</w:t>
      </w:r>
    </w:p>
    <w:p>
      <w:pPr>
        <w:jc w:val="left"/>
        <w:spacing w:after="100" w:before="240" w:line="384" w:lineRule="auto"/>
      </w:pPr>
      <w:r>
        <w:rPr>
          <w:rFonts w:ascii="Arial" w:eastAsia="맑은 고딕" w:hAnsi="Arial"/>
          <w:b/>
          <w:bCs/>
          <w:sz w:val="22"/>
          <w:szCs w:val="22"/>
        </w:rPr>
        <w:t>4. 시 본청 밖의 부담</w:t>
      </w:r>
    </w:p>
    <w:p>
      <w:pPr>
        <w:jc w:val="center"/>
        <w:spacing w:after="60" w:before="160" w:line="384" w:lineRule="auto"/>
      </w:pPr>
      <w:r>
        <w:rPr>
          <w:rFonts w:ascii="Arial" w:eastAsia="맑은 고딕" w:hAnsi="Arial"/>
          <w:b/>
          <w:bCs/>
          <w:sz w:val="20"/>
          <w:szCs w:val="20"/>
        </w:rPr>
        <w:t>&lt;표 3&gt; 지방공사·공단 부채와 대전도시공사 차입</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7"/>
        <w:gridCol w:w="1134"/>
        <w:gridCol w:w="3213"/>
        <w:gridCol w:w="2834"/>
      </w:tblGrid>
      <w:tr>
        <w:trPr>
          <w:tblHeader/>
        </w:trPr>
        <w:tc>
          <w:tcPr>
            <w:tcW w:w="245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항목</w:t>
            </w:r>
          </w:p>
        </w:tc>
        <w:tc>
          <w:tcPr>
            <w:tcW w:w="11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2024년</w:t>
            </w:r>
          </w:p>
        </w:tc>
        <w:tc>
          <w:tcPr>
            <w:tcW w:w="321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2025년</w:t>
            </w:r>
          </w:p>
        </w:tc>
        <w:tc>
          <w:tcPr>
            <w:tcW w:w="28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증감</w:t>
            </w:r>
          </w:p>
        </w:tc>
      </w:tr>
      <w:tr>
        <w:trPr/>
        <w:tc>
          <w:tcPr>
            <w:tcW w:w="245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공사·공단 4곳 부채</w:t>
            </w:r>
          </w:p>
        </w:tc>
        <w:tc>
          <w:tcPr>
            <w:tcW w:w="11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5,708억</w:t>
            </w:r>
          </w:p>
        </w:tc>
        <w:tc>
          <w:tcPr>
            <w:tcW w:w="321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9,591억</w:t>
            </w:r>
          </w:p>
        </w:tc>
        <w:tc>
          <w:tcPr>
            <w:tcW w:w="28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+3,883억(+68.0%)</w:t>
            </w:r>
          </w:p>
        </w:tc>
      </w:tr>
      <w:tr>
        <w:trPr/>
        <w:tc>
          <w:tcPr>
            <w:tcW w:w="245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대전도시공사 부채</w:t>
            </w:r>
          </w:p>
        </w:tc>
        <w:tc>
          <w:tcPr>
            <w:tcW w:w="11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w:t>
            </w:r>
          </w:p>
        </w:tc>
        <w:tc>
          <w:tcPr>
            <w:tcW w:w="321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8,576억(전체의 89%)</w:t>
            </w:r>
          </w:p>
        </w:tc>
        <w:tc>
          <w:tcPr>
            <w:tcW w:w="28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w:t>
            </w:r>
          </w:p>
        </w:tc>
      </w:tr>
      <w:tr>
        <w:trPr/>
        <w:tc>
          <w:tcPr>
            <w:tcW w:w="245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대전도시공사 차입금 수입</w:t>
            </w:r>
          </w:p>
        </w:tc>
        <w:tc>
          <w:tcPr>
            <w:tcW w:w="11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w:t>
            </w:r>
          </w:p>
        </w:tc>
        <w:tc>
          <w:tcPr>
            <w:tcW w:w="321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5,546억</w:t>
            </w:r>
            <w:r>
              <w:rPr>
                <w:rFonts w:ascii="Arial" w:eastAsia="맑은 고딕" w:hAnsi="Arial"/>
                <w:b w:val="0"/>
                <w:bCs w:val="0"/>
                <w:sz w:val="18"/>
                <w:szCs w:val="18"/>
              </w:rPr>
              <w:t>(세입의 50.8%)</w:t>
            </w:r>
          </w:p>
        </w:tc>
        <w:tc>
          <w:tcPr>
            <w:tcW w:w="28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지방공사 차입 전액</w:t>
            </w:r>
          </w:p>
        </w:tc>
      </w:tr>
    </w:tbl>
    <w:p>
      <w:pPr>
        <w:spacing w:after="0"/>
      </w:pPr>
    </w:p>
    <w:p>
      <w:pPr>
        <w:jc w:val="left"/>
        <w:spacing w:after="120" w:before="0" w:line="384" w:lineRule="auto"/>
      </w:pPr>
      <w:r>
        <w:rPr>
          <w:rFonts w:ascii="Arial" w:eastAsia="맑은 고딕" w:hAnsi="Arial"/>
          <w:b w:val="0"/>
          <w:bCs w:val="0"/>
          <w:sz w:val="16"/>
          <w:szCs w:val="16"/>
        </w:rPr>
        <w:t>출처: 2025회계연도 결산서 첨부서류 지역통합재정통계</w:t>
      </w:r>
    </w:p>
    <w:p>
      <w:pPr>
        <w:ind w:firstLine="200"/>
        <w:jc w:val="both"/>
        <w:spacing w:after="60" w:before="0" w:line="384" w:lineRule="auto"/>
      </w:pPr>
      <w:r>
        <w:rPr>
          <w:rFonts w:ascii="Arial" w:eastAsia="맑은 고딕" w:hAnsi="Arial"/>
          <w:b w:val="0"/>
          <w:bCs w:val="0"/>
          <w:sz w:val="20"/>
          <w:szCs w:val="20"/>
        </w:rPr>
        <w:t xml:space="preserve">공사·공단 4곳 가운데 차입금 수입이 있는 곳은 대전도시공사 한 곳뿐입니다. 빌린 5,546억 원에서 갚은 1,701억 원을 빼면 순증 3,845억 원으로, 공사 부채 증가액과 사실상 일치합니다. </w:t>
      </w:r>
      <w:r>
        <w:rPr>
          <w:rFonts w:ascii="Arial" w:eastAsia="맑은 고딕" w:hAnsi="Arial"/>
          <w:b/>
          <w:bCs/>
          <w:sz w:val="20"/>
          <w:szCs w:val="20"/>
        </w:rPr>
        <w:t>시 지방채는 지방의회 의결과 공시 절차를 거치지만 공사의 차입은 그 밖에 있습니다.</w:t>
      </w:r>
      <w:r>
        <w:rPr>
          <w:rFonts w:ascii="Arial" w:eastAsia="맑은 고딕" w:hAnsi="Arial"/>
          <w:b w:val="0"/>
          <w:bCs w:val="0"/>
          <w:sz w:val="20"/>
          <w:szCs w:val="20"/>
        </w:rPr>
        <w:t xml:space="preserve"> 본청 기준 법정 지표에도 잡히지 않습니다.</w:t>
      </w:r>
    </w:p>
    <w:p>
      <w:pPr>
        <w:jc w:val="left"/>
        <w:spacing w:after="100" w:before="240" w:line="384" w:lineRule="auto"/>
      </w:pPr>
      <w:r>
        <w:rPr>
          <w:rFonts w:ascii="Arial" w:eastAsia="맑은 고딕" w:hAnsi="Arial"/>
          <w:b/>
          <w:bCs/>
          <w:sz w:val="22"/>
          <w:szCs w:val="22"/>
        </w:rPr>
        <w:t>5. 대전참여자치시민연대의 요구</w:t>
      </w:r>
    </w:p>
    <w:p>
      <w:pPr>
        <w:jc w:val="left"/>
        <w:spacing w:after="80" w:before="180" w:line="384" w:lineRule="auto"/>
      </w:pPr>
      <w:r>
        <w:rPr>
          <w:rFonts w:ascii="Arial" w:eastAsia="맑은 고딕" w:hAnsi="Arial"/>
          <w:b/>
          <w:bCs/>
          <w:sz w:val="20"/>
          <w:szCs w:val="20"/>
        </w:rPr>
        <w:t>1) 결산심사에서 검증해야 할 세 가지</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자체수입을 늘릴 방안이 실효성이 있는가</w:t>
      </w:r>
      <w:r>
        <w:rPr>
          <w:rFonts w:ascii="Arial" w:eastAsia="맑은 고딕" w:hAnsi="Arial"/>
          <w:b w:val="0"/>
          <w:bCs w:val="0"/>
          <w:sz w:val="20"/>
          <w:szCs w:val="20"/>
        </w:rPr>
        <w:t xml:space="preserve"> — 세입 기반 확충 계획과 이행 실적</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지방채로 추진하는 대형 투자사업의 집행 계획이 현실적인가</w:t>
      </w:r>
      <w:r>
        <w:rPr>
          <w:rFonts w:ascii="Arial" w:eastAsia="맑은 고딕" w:hAnsi="Arial"/>
          <w:b w:val="0"/>
          <w:bCs w:val="0"/>
          <w:sz w:val="20"/>
          <w:szCs w:val="20"/>
        </w:rPr>
        <w:t xml:space="preserve"> — 연차별 재원 조달 대책과 함께</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지방공기업·산하기관 부채를 포함한 시 전체의 실질적 통합 재정 부담이 얼마인가</w:t>
      </w:r>
      <w:r>
        <w:rPr>
          <w:rFonts w:ascii="Arial" w:eastAsia="맑은 고딕" w:hAnsi="Arial"/>
          <w:b w:val="0"/>
          <w:bCs w:val="0"/>
          <w:sz w:val="20"/>
          <w:szCs w:val="20"/>
        </w:rPr>
        <w:t xml:space="preserve"> — 도시공사 차입 5,546억 원의 사업별 내역과 상환계획</w:t>
      </w:r>
    </w:p>
    <w:p>
      <w:pPr>
        <w:jc w:val="left"/>
        <w:spacing w:after="80" w:before="180" w:line="384" w:lineRule="auto"/>
      </w:pPr>
      <w:r>
        <w:rPr>
          <w:rFonts w:ascii="Arial" w:eastAsia="맑은 고딕" w:hAnsi="Arial"/>
          <w:b/>
          <w:bCs/>
          <w:sz w:val="20"/>
          <w:szCs w:val="20"/>
        </w:rPr>
        <w:t>2) 재정 건전화를 위한 관리 방향 세 가지</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중장기 재정계획과 연계한 대형 사업 우선순위 재조정.</w:t>
      </w:r>
      <w:r>
        <w:rPr>
          <w:rFonts w:ascii="Arial" w:eastAsia="맑은 고딕" w:hAnsi="Arial"/>
          <w:b w:val="0"/>
          <w:bCs w:val="0"/>
          <w:sz w:val="20"/>
          <w:szCs w:val="20"/>
        </w:rPr>
        <w:t xml:space="preserve"> 2026년 7월 재정혁신 방안의 조정 대상 71개 사업 목록과 판단 근거가 공개되어, 결산에서 확인된 저집행 사업과 대조될 수 있어야 합니다.</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일정 지연에 따른 이자 부담과 불용액을 최소화하는 집행 관리.</w:t>
      </w:r>
      <w:r>
        <w:rPr>
          <w:rFonts w:ascii="Arial" w:eastAsia="맑은 고딕" w:hAnsi="Arial"/>
          <w:b w:val="0"/>
          <w:bCs w:val="0"/>
          <w:sz w:val="20"/>
          <w:szCs w:val="20"/>
        </w:rPr>
        <w:t xml:space="preserve"> 조달 시점과 집행 시점의 괴리를 줄여야 합니다.</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본청 채무와 산하기관 채무를 함께 관리하는 통합 부채 관리 체계 강화.</w:t>
      </w:r>
      <w:r>
        <w:rPr>
          <w:rFonts w:ascii="Arial" w:eastAsia="맑은 고딕" w:hAnsi="Arial"/>
          <w:b w:val="0"/>
          <w:bCs w:val="0"/>
          <w:sz w:val="20"/>
          <w:szCs w:val="20"/>
        </w:rPr>
        <w:t xml:space="preserve"> 재정 위험이 시 전체로 옮겨오는 것을 막으려면 이 사각지대를 먼저 메워야 합니다.</w:t>
      </w:r>
    </w:p>
    <w:p>
      <w:pPr>
        <w:jc w:val="left"/>
        <w:spacing w:after="80" w:before="180" w:line="384" w:lineRule="auto"/>
      </w:pPr>
      <w:r>
        <w:rPr>
          <w:rFonts w:ascii="Arial" w:eastAsia="맑은 고딕" w:hAnsi="Arial"/>
          <w:b/>
          <w:bCs/>
          <w:sz w:val="20"/>
          <w:szCs w:val="20"/>
        </w:rPr>
        <w:t>3) 결산심사에서 확인이 필요한 자료</w:t>
      </w:r>
    </w:p>
    <w:p>
      <w:pPr>
        <w:ind w:left="300" w:hanging="200"/>
        <w:jc w:val="both"/>
        <w:spacing w:after="60" w:before="0" w:line="384" w:lineRule="auto"/>
      </w:pPr>
      <w:r>
        <w:rPr>
          <w:rFonts w:ascii="Arial" w:eastAsia="맑은 고딕" w:hAnsi="Arial"/>
          <w:b w:val="0"/>
          <w:bCs w:val="0"/>
          <w:sz w:val="20"/>
          <w:szCs w:val="20"/>
        </w:rPr>
        <w:t>● 대전도시공사 차입금 5,546억 원의 사업별 내역·상환계획과 중장기 재무관리계획</w:t>
      </w:r>
    </w:p>
    <w:p>
      <w:pPr>
        <w:ind w:left="300" w:hanging="200"/>
        <w:jc w:val="both"/>
        <w:spacing w:after="60" w:before="0" w:line="384" w:lineRule="auto"/>
      </w:pPr>
      <w:r>
        <w:rPr>
          <w:rFonts w:ascii="Arial" w:eastAsia="맑은 고딕" w:hAnsi="Arial"/>
          <w:b w:val="0"/>
          <w:bCs w:val="0"/>
          <w:sz w:val="20"/>
          <w:szCs w:val="20"/>
        </w:rPr>
        <w:t>● 공기업특별회계(상수도·하수도)의 미집행·이월 사유 — 이월 1,005억 원의 사업별 내역</w:t>
      </w:r>
    </w:p>
    <w:p>
      <w:pPr>
        <w:ind w:left="300" w:hanging="200"/>
        <w:jc w:val="both"/>
        <w:spacing w:after="60" w:before="0" w:line="384" w:lineRule="auto"/>
      </w:pPr>
      <w:r>
        <w:rPr>
          <w:rFonts w:ascii="Arial" w:eastAsia="맑은 고딕" w:hAnsi="Arial"/>
          <w:b w:val="0"/>
          <w:bCs w:val="0"/>
          <w:sz w:val="20"/>
          <w:szCs w:val="20"/>
        </w:rPr>
        <w:t>● 2025회계연도 성과보고서와 재정혁신 71개 사업 목록</w:t>
      </w:r>
    </w:p>
    <w:p>
      <w:pPr>
        <w:ind w:left="300" w:hanging="200"/>
        <w:jc w:val="both"/>
        <w:spacing w:after="60" w:before="0" w:line="384" w:lineRule="auto"/>
      </w:pPr>
      <w:r>
        <w:rPr>
          <w:rFonts w:ascii="Arial" w:eastAsia="맑은 고딕" w:hAnsi="Arial"/>
          <w:b w:val="0"/>
          <w:bCs w:val="0"/>
          <w:sz w:val="20"/>
          <w:szCs w:val="20"/>
        </w:rPr>
        <w:t>● 도시철도 2호선 지방채 973억 원의 자금 흐름 — 12월 22일 590억 원 발행의 자금계획상 필요, 자금의 실제 사용 시점</w:t>
      </w:r>
    </w:p>
    <w:p>
      <w:pPr>
        <w:ind w:left="300" w:hanging="200"/>
        <w:jc w:val="both"/>
        <w:spacing w:after="60" w:before="0" w:line="384" w:lineRule="auto"/>
      </w:pPr>
      <w:r>
        <w:rPr>
          <w:rFonts w:ascii="Arial" w:eastAsia="맑은 고딕" w:hAnsi="Arial"/>
          <w:b w:val="0"/>
          <w:bCs w:val="0"/>
          <w:sz w:val="20"/>
          <w:szCs w:val="20"/>
        </w:rPr>
        <w:t>● 채무 1조 5,864억 원의 연차별 상환계획</w:t>
      </w:r>
    </w:p>
    <w:tbl>
      <w:tblPr>
        <w:tblW w:w="9638" w:type="dxa"/>
        <w:tblBorders>
          <w:top w:val="single" w:sz="4" w:space="0" w:color="CCCCCC"/>
          <w:left w:val="none"/>
          <w:bottom w:val="none"/>
          <w:right w:val="none"/>
          <w:insideH w:val="none"/>
          <w:insideV w:val="none"/>
        </w:tblBorders>
        <w:tblLook w:val="04A0" w:firstRow="1" w:lastRow="0" w:firstColumn="1" w:lastColumn="0" w:noHBand="0" w:noVBand="1"/>
      </w:tblPr>
      <w:tblGrid>
        <w:gridCol w:w="9638"/>
      </w:tblGrid>
      <w:tr>
        <w:tc>
          <w:tcPr>
            <w:tcW w:w="9638" w:type="dxa"/>
            <w:tcBorders>
              <w:top w:val="single" w:sz="4" w:space="0" w:color="CCCCCC"/>
              <w:left w:val="none"/>
              <w:bottom w:val="none"/>
              <w:right w:val="none"/>
            </w:tcBorders>
            <w:tcMar>
              <w:top w:w="0" w:type="dxa"/>
              <w:left w:w="0" w:type="dxa"/>
              <w:bottom w:w="0" w:type="dxa"/>
              <w:right w:w="0" w:type="dxa"/>
            </w:tcMar>
          </w:tcPr>
          <w:p>
            <w:pPr>
              <w:spacing w:after="0" w:line="40"/>
            </w:pPr>
          </w:p>
        </w:tc>
      </w:tr>
    </w:tbl>
    <w:p>
      <w:pPr>
        <w:jc w:val="both"/>
        <w:spacing w:after="80" w:before="0" w:line="384" w:lineRule="auto"/>
      </w:pPr>
    </w:p>
    <w:p>
      <w:pPr>
        <w:jc w:val="left"/>
        <w:spacing w:after="120" w:before="0" w:line="384" w:lineRule="auto"/>
      </w:pPr>
    </w:p>
    <w:p>
      <w:pPr>
        <w:ind w:firstLine="200"/>
        <w:jc w:val="both"/>
        <w:spacing w:after="60" w:before="0" w:line="384" w:lineRule="auto"/>
      </w:pPr>
      <w:r>
        <w:rPr>
          <w:rFonts w:ascii="Arial" w:eastAsia="맑은 고딕" w:hAnsi="Arial"/>
          <w:b w:val="0"/>
          <w:bCs w:val="0"/>
          <w:sz w:val="20"/>
          <w:szCs w:val="20"/>
        </w:rPr>
        <w:t>2026년 9월 4일</w:t>
      </w:r>
    </w:p>
    <w:p>
      <w:pPr>
        <w:ind w:firstLine="200"/>
        <w:jc w:val="both"/>
        <w:spacing w:after="60" w:before="0" w:line="384" w:lineRule="auto"/>
      </w:pPr>
      <w:r>
        <w:rPr>
          <w:rFonts w:ascii="Arial" w:eastAsia="맑은 고딕" w:hAnsi="Arial"/>
          <w:b w:val="0"/>
          <w:bCs w:val="0"/>
          <w:sz w:val="20"/>
          <w:szCs w:val="20"/>
        </w:rPr>
        <w:t>대전참여자치시민연대</w:t>
      </w:r>
    </w:p>
    <w:p>
      <w:pPr>
        <w:ind w:firstLine="200"/>
        <w:jc w:val="both"/>
        <w:spacing w:after="60" w:before="0" w:line="384" w:lineRule="auto"/>
      </w:pPr>
      <w:r>
        <w:rPr>
          <w:rFonts w:ascii="Arial" w:eastAsia="맑은 고딕" w:hAnsi="Arial"/>
          <w:b w:val="0"/>
          <w:bCs w:val="0"/>
          <w:sz w:val="20"/>
          <w:szCs w:val="20"/>
        </w:rPr>
        <w:t>붙임. 2025회계연도 대전광역시 결산 분석 — 재정 구조와 '재정위기' 진단, 그리고 이월 실태 (A4 30쪽, 저집행 사업 명단 첨부 포함)</w:t>
      </w:r>
    </w:p>
    <w:sectPr>
      <w:pgSz w:w="11906" w:h="16838"/>
      <w:pgMar w:top="1134" w:right="1134" w:bottom="1134" w:left="1134" w:header="708" w:footer="708"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Arial">
    <w:panose1 w:val="020B0604020202020204"/>
    <w:notTrueType w:val="false"/>
    <w:sig w:usb0="E0002EFF" w:usb1="C000785B" w:usb2="00000009" w:usb3="00000001" w:csb0="400001FF" w:csb1="FFFF0000"/>
  </w:font>
  <w:font w:name="맑은 고딕">
    <w:panose1 w:val="020B0503020000020004"/>
    <w:notTrueType w:val="false"/>
    <w:sig w:usb0="9000002F" w:usb1="29D77CFB" w:usb2="00000012" w:usb3="00000001" w:csb0="00080001" w:csb1="0000000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removePersonalInformation/>
  <w:displayBackgroundShape/>
  <w:bordersDontSurroundHeader/>
  <w:bordersDontSurroundFooter/>
  <w:hideGrammaticalErrors/>
  <w:proofState w:spelling="clean" w:grammar="clean"/>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1"/>
  <w:characterSpacingControl w:val="doNotCompress"/>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 w:eastAsia="" w:bidi=""/>
</w:settings>
</file>

<file path=word/styles.xml><?xml version="1.0" encoding="utf-8"?>
<w:styles xmlns:r="http://schemas.openxmlformats.org/officeDocument/2006/relationships" xmlns:w="http://schemas.openxmlformats.org/wordprocessingml/2006/main">
  <w:docDefaults>
    <w:rPrDefault>
      <w:rPr>
        <w:rFonts w:ascii="Arial" w:eastAsia="맑은 고딕" w:hAnsi="Arial"/>
        <w:sz w:val="20"/>
        <w:szCs w:val="20"/>
      </w:rPr>
    </w:rPrDefault>
    <w:pPrDefault>
      <w:pPr>
        <w:spacing w:after="60" w:line="38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styleId="Title">
    <w:name w:val="Title"/>
    <w:next w:val="Title"/>
    <w:qFormat/>
    <w:rPr>
      <w:sz w:val="56"/>
      <w:szCs w:val="56"/>
    </w:rPr>
  </w:style>
  <w:style w:type="paragraph" w:customStyle="1" w:styleId="Heading1">
    <w:name w:val="Heading 1"/>
    <w:next w:val="Title"/>
    <w:qFormat/>
    <w:rPr>
      <w:color w:val="2E74B5"/>
      <w:sz w:val="32"/>
      <w:szCs w:val="32"/>
    </w:rPr>
  </w:style>
  <w:style w:type="paragraph" w:customStyle="1" w:styleId="Heading2">
    <w:name w:val="Heading 2"/>
    <w:next w:val="Title"/>
    <w:qFormat/>
    <w:rPr>
      <w:color w:val="2E74B5"/>
      <w:sz w:val="26"/>
      <w:szCs w:val="26"/>
    </w:rPr>
  </w:style>
  <w:style w:type="paragraph" w:customStyle="1" w:styleId="Heading3">
    <w:name w:val="Heading 3"/>
    <w:next w:val="Title"/>
    <w:qFormat/>
    <w:rPr>
      <w:color w:val="1F4D78"/>
      <w:sz w:val="24"/>
      <w:szCs w:val="24"/>
    </w:rPr>
  </w:style>
  <w:style w:type="paragraph" w:customStyle="1" w:styleId="Heading4">
    <w:name w:val="Heading 4"/>
    <w:next w:val="Title"/>
    <w:qFormat/>
    <w:rPr>
      <w:i/>
      <w:iCs/>
      <w:color w:val="2E74B5"/>
    </w:rPr>
  </w:style>
  <w:style w:type="paragraph" w:customStyle="1" w:styleId="Heading5">
    <w:name w:val="Heading 5"/>
    <w:next w:val="Title"/>
    <w:qFormat/>
    <w:rPr>
      <w:color w:val="2E74B5"/>
    </w:rPr>
  </w:style>
  <w:style w:type="paragraph" w:customStyle="1" w:styleId="Heading6">
    <w:name w:val="Heading 6"/>
    <w:next w:val="Title"/>
    <w:qFormat/>
    <w:rPr>
      <w:color w:val="1F4D78"/>
    </w:rPr>
  </w:style>
  <w:style w:type="paragraph" w:styleId="Strong">
    <w:name w:val="Strong"/>
    <w:next w:val="Title"/>
    <w:qFormat/>
    <w:rPr>
      <w:b/>
      <w:bCs/>
    </w:rPr>
  </w:style>
  <w:style w:type="paragraph" w:styleId="ListParagraph">
    <w:name w:val="List Paragraph"/>
    <w:qFormat/>
  </w:style>
  <w:style w:type="character" w:styleId="Hyperlink">
    <w:name w:val="Hyperlink"/>
    <w:uiPriority w:val="99"/>
    <w:unhideWhenUsed/>
    <w:rPr>
      <w:color w:val="0563C1"/>
      <w:u w:val="single" w:color="auto"/>
    </w:rPr>
  </w:style>
  <w:style w:type="character" w:styleId="FootnoteReference">
    <w:name w:val="footnote reference"/>
    <w:uiPriority w:val="99"/>
    <w:semiHidden/>
    <w:unhideWhenUsed/>
    <w:rPr>
      <w:vertAlign w:val="superscript"/>
    </w:rPr>
  </w:style>
  <w:style w:type="paragraph" w:styleId="FootnoteText">
    <w:name w:val="footnote text"/>
    <w:uiPriority w:val="99"/>
    <w:link w:val="FootnoteTextChar"/>
    <w:semiHidden/>
    <w:unhideWhenUsed/>
    <w:pPr>
      <w:spacing w:after="0" w:line="240" w:lineRule="auto"/>
    </w:pPr>
    <w:rPr>
      <w:sz w:val="20"/>
      <w:szCs w:val="20"/>
    </w:rPr>
  </w:style>
  <w:style w:type="character" w:customStyle="1" w:styleId="FootnoteTextChar">
    <w:name w:val="Footnote Text Char"/>
    <w:uiPriority w:val="99"/>
    <w:link w:val="FootnoteText"/>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uiPriority w:val="99"/>
    <w:link w:val="EndnoteTextChar"/>
    <w:semiHidden/>
    <w:unhideWhenUsed/>
    <w:pPr>
      <w:spacing w:after="0" w:line="240" w:lineRule="auto"/>
    </w:pPr>
    <w:rPr>
      <w:sz w:val="20"/>
      <w:szCs w:val="20"/>
    </w:rPr>
  </w:style>
  <w:style w:type="character" w:customStyle="1" w:styleId="EndnoteTextChar">
    <w:name w:val="Endnote Text Char"/>
    <w:uiPriority w:val="99"/>
    <w:link w:val="EndnoteText"/>
    <w:semiHidden/>
    <w:unhideWhenUsed/>
    <w:rPr>
      <w:sz w:val="20"/>
      <w:szCs w:val="20"/>
    </w:rPr>
  </w:style>
  <w:style w:type="table" w:default="1" w:styleId="a4">
    <w:name w:val="Normal Table"/>
    <w:uiPriority w:val="99"/>
    <w:semiHidden/>
    <w:unhideWhenUsed/>
    <w:tblPr>
      <w:tblInd w:w="0" w:type="dxa"/>
      <w:tblCellMar>
        <w:top w:w="0" w:type="dxa"/>
        <w:left w:w="108" w:type="dxa"/>
        <w:bottom w:w="0" w:type="dxa"/>
        <w:right w:w="108" w:type="dxa"/>
      </w:tblCellMar>
    </w:tblPr>
  </w:style>
  <w:style w:type="character" w:default="1" w:styleId="a3">
    <w:name w:val="Default Paragraph Font"/>
    <w:uiPriority w:val="1"/>
    <w:semiHidden/>
    <w:unhideWhenUsed/>
  </w:style>
  <w:style w:type="paragraph" w:default="1" w:styleId="a2">
    <w:name w:val="Normal"/>
    <w:qFormat/>
    <w:pPr>
      <w:autoSpaceDE w:val="off"/>
      <w:autoSpaceDN w:val="off"/>
      <w:widowControl w:val="off"/>
      <w:wordWrap w:val="off"/>
    </w:p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lastClr="000000" val="windowText"/>
      </a:dk1>
      <a:lt1>
        <a:sysClr lastClr="FFFFFF" val="window"/>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함초롬돋움"/>
        <a:ea typeface=""/>
        <a:cs typeface=""/>
        <a:font script="Jpan" typeface="MS Gothic"/>
        <a:font script="Hang" typeface="함초롬돋움"/>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함초롬돋움"/>
        <a:ea typeface=""/>
        <a:cs typeface=""/>
        <a:font script="Jpan" typeface="MS Mincho"/>
        <a:font script="Hang" typeface="함초롬돋움"/>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Hancom 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재섭</cp:lastModifiedBy>
  <cp:revision>1</cp:revision>
  <dcterms:modified xsi:type="dcterms:W3CDTF">2026-09-04T00:04:37Z</dcterms:modified>
  <cp:version>1000.0100.01</cp:version>
</cp:coreProperties>
</file>